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830E1F" w:rsidRDefault="00F2294E">
      <w:pPr>
        <w:spacing w:after="0"/>
        <w:jc w:val="center"/>
        <w:rPr>
          <w:szCs w:val="28"/>
        </w:rPr>
      </w:pPr>
      <w:r>
        <w:rPr>
          <w:noProof/>
          <w:szCs w:val="28"/>
        </w:rPr>
        <mc:AlternateContent>
          <mc:Choice Requires="wpg">
            <w:drawing>
              <wp:inline distT="0" distB="0" distL="0" distR="0">
                <wp:extent cx="752475" cy="895350"/>
                <wp:effectExtent l="0" t="0" r="9525" b="0"/>
                <wp:docPr id="1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752475" cy="8953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9.25pt;height:70.50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</w:p>
    <w:p w:rsidR="00830E1F" w:rsidRDefault="00830E1F">
      <w:pPr>
        <w:spacing w:after="0"/>
        <w:rPr>
          <w:szCs w:val="28"/>
        </w:rPr>
      </w:pPr>
    </w:p>
    <w:p w:rsidR="00830E1F" w:rsidRDefault="00F2294E">
      <w:pPr>
        <w:spacing w:after="0"/>
        <w:jc w:val="center"/>
        <w:rPr>
          <w:b/>
          <w:sz w:val="52"/>
          <w:szCs w:val="52"/>
          <w:u w:val="single"/>
        </w:rPr>
      </w:pPr>
      <w:r>
        <w:rPr>
          <w:b/>
          <w:sz w:val="52"/>
          <w:szCs w:val="52"/>
          <w:u w:val="single"/>
        </w:rPr>
        <w:t>О Т Ч Е Т</w:t>
      </w:r>
    </w:p>
    <w:p w:rsidR="00830E1F" w:rsidRDefault="00F2294E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О РЕАЛИЗАЦИИ МЕР </w:t>
      </w:r>
    </w:p>
    <w:p w:rsidR="00830E1F" w:rsidRDefault="00F2294E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АНТИКОРРУПЦИОННОЙ ПОЛИТИКИ</w:t>
      </w:r>
    </w:p>
    <w:p w:rsidR="00830E1F" w:rsidRDefault="00F2294E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В ОРЕНБУРГСКОЙ ОБЛАСТИ ЗА </w:t>
      </w:r>
      <w:r>
        <w:rPr>
          <w:b/>
          <w:bCs/>
          <w:sz w:val="36"/>
          <w:szCs w:val="36"/>
        </w:rPr>
        <w:t xml:space="preserve">2025 </w:t>
      </w:r>
      <w:r>
        <w:rPr>
          <w:b/>
          <w:sz w:val="36"/>
          <w:szCs w:val="36"/>
        </w:rPr>
        <w:t>ГОД</w:t>
      </w:r>
    </w:p>
    <w:p w:rsidR="00830E1F" w:rsidRDefault="00830E1F">
      <w:pPr>
        <w:spacing w:after="0"/>
        <w:jc w:val="center"/>
        <w:rPr>
          <w:b/>
          <w:sz w:val="36"/>
          <w:szCs w:val="36"/>
        </w:rPr>
      </w:pPr>
    </w:p>
    <w:p w:rsidR="00830E1F" w:rsidRDefault="00830E1F">
      <w:pPr>
        <w:spacing w:after="0"/>
        <w:rPr>
          <w:szCs w:val="28"/>
        </w:rPr>
      </w:pPr>
    </w:p>
    <w:p w:rsidR="00830E1F" w:rsidRDefault="00F2294E">
      <w:pPr>
        <w:spacing w:after="0"/>
        <w:rPr>
          <w:szCs w:val="28"/>
        </w:rPr>
      </w:pPr>
      <w:r>
        <w:rPr>
          <w:noProof/>
          <w:szCs w:val="28"/>
        </w:rPr>
        <mc:AlternateContent>
          <mc:Choice Requires="wpg">
            <w:drawing>
              <wp:inline distT="0" distB="0" distL="0" distR="0">
                <wp:extent cx="5939955" cy="3792629"/>
                <wp:effectExtent l="0" t="0" r="3810" b="0"/>
                <wp:docPr id="2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52837" cy="380085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71pt;height:298.63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</w:p>
    <w:p w:rsidR="00830E1F" w:rsidRDefault="00830E1F">
      <w:pPr>
        <w:spacing w:after="0"/>
        <w:jc w:val="center"/>
        <w:rPr>
          <w:szCs w:val="28"/>
        </w:rPr>
      </w:pPr>
    </w:p>
    <w:p w:rsidR="00830E1F" w:rsidRDefault="00830E1F">
      <w:pPr>
        <w:spacing w:after="0"/>
        <w:jc w:val="center"/>
        <w:rPr>
          <w:szCs w:val="28"/>
        </w:rPr>
      </w:pPr>
    </w:p>
    <w:p w:rsidR="00830E1F" w:rsidRDefault="00830E1F">
      <w:pPr>
        <w:tabs>
          <w:tab w:val="left" w:pos="2912"/>
        </w:tabs>
        <w:spacing w:after="0"/>
        <w:rPr>
          <w:szCs w:val="28"/>
        </w:rPr>
      </w:pPr>
    </w:p>
    <w:p w:rsidR="00830E1F" w:rsidRDefault="00830E1F">
      <w:pPr>
        <w:spacing w:after="0"/>
        <w:jc w:val="center"/>
        <w:rPr>
          <w:szCs w:val="28"/>
        </w:rPr>
      </w:pPr>
    </w:p>
    <w:p w:rsidR="00830E1F" w:rsidRDefault="00830E1F">
      <w:pPr>
        <w:spacing w:after="0"/>
        <w:rPr>
          <w:b/>
          <w:szCs w:val="28"/>
        </w:rPr>
      </w:pPr>
    </w:p>
    <w:p w:rsidR="00830E1F" w:rsidRDefault="00830E1F">
      <w:pPr>
        <w:spacing w:after="0"/>
        <w:rPr>
          <w:b/>
          <w:szCs w:val="28"/>
        </w:rPr>
      </w:pPr>
    </w:p>
    <w:p w:rsidR="00830E1F" w:rsidRDefault="00830E1F">
      <w:pPr>
        <w:spacing w:after="0"/>
        <w:rPr>
          <w:b/>
          <w:szCs w:val="28"/>
        </w:rPr>
      </w:pPr>
    </w:p>
    <w:p w:rsidR="00830E1F" w:rsidRDefault="00F2294E">
      <w:pPr>
        <w:spacing w:after="0"/>
        <w:jc w:val="center"/>
        <w:rPr>
          <w:b/>
          <w:szCs w:val="28"/>
        </w:rPr>
      </w:pPr>
      <w:r>
        <w:rPr>
          <w:b/>
          <w:szCs w:val="28"/>
        </w:rPr>
        <w:t>г. Оренбург</w:t>
      </w:r>
    </w:p>
    <w:p w:rsidR="00830E1F" w:rsidRDefault="00830E1F">
      <w:pPr>
        <w:spacing w:after="0"/>
        <w:jc w:val="center"/>
        <w:rPr>
          <w:b/>
          <w:szCs w:val="28"/>
        </w:rPr>
      </w:pPr>
    </w:p>
    <w:p w:rsidR="00830E1F" w:rsidRDefault="00F2294E">
      <w:pPr>
        <w:spacing w:after="0"/>
        <w:jc w:val="center"/>
        <w:rPr>
          <w:b/>
          <w:bCs/>
        </w:rPr>
      </w:pPr>
      <w:r>
        <w:rPr>
          <w:b/>
          <w:bCs/>
          <w:szCs w:val="28"/>
        </w:rPr>
        <w:t>2026</w:t>
      </w:r>
    </w:p>
    <w:p w:rsidR="00830E1F" w:rsidRDefault="00830E1F">
      <w:pPr>
        <w:spacing w:after="0"/>
        <w:jc w:val="center"/>
        <w:rPr>
          <w:b/>
          <w:bCs/>
        </w:rPr>
      </w:pPr>
    </w:p>
    <w:p w:rsidR="00830E1F" w:rsidRDefault="00830E1F">
      <w:pPr>
        <w:spacing w:after="0"/>
        <w:jc w:val="center"/>
        <w:rPr>
          <w:b/>
          <w:bCs/>
        </w:rPr>
      </w:pPr>
    </w:p>
    <w:p w:rsidR="00830E1F" w:rsidRDefault="00F2294E">
      <w:pPr>
        <w:spacing w:after="0"/>
        <w:jc w:val="center"/>
        <w:rPr>
          <w:b/>
          <w:color w:val="000000" w:themeColor="text1"/>
          <w:szCs w:val="28"/>
        </w:rPr>
      </w:pPr>
      <w:r>
        <w:rPr>
          <w:b/>
          <w:color w:val="000000" w:themeColor="text1"/>
          <w:szCs w:val="28"/>
        </w:rPr>
        <w:t>СОДЕРЖАНИЕ</w:t>
      </w:r>
    </w:p>
    <w:p w:rsidR="00830E1F" w:rsidRDefault="00830E1F">
      <w:pPr>
        <w:spacing w:after="0"/>
        <w:rPr>
          <w:b/>
          <w:color w:val="000000" w:themeColor="text1"/>
          <w:szCs w:val="28"/>
        </w:rPr>
      </w:pPr>
    </w:p>
    <w:tbl>
      <w:tblPr>
        <w:tblStyle w:val="aff0"/>
        <w:tblW w:w="96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7938"/>
        <w:gridCol w:w="1297"/>
      </w:tblGrid>
      <w:tr w:rsidR="00830E1F">
        <w:tc>
          <w:tcPr>
            <w:tcW w:w="426" w:type="dxa"/>
          </w:tcPr>
          <w:p w:rsidR="00830E1F" w:rsidRDefault="00F2294E">
            <w:pPr>
              <w:jc w:val="center"/>
              <w:rPr>
                <w:b/>
                <w:color w:val="000000" w:themeColor="text1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t>1.</w:t>
            </w:r>
          </w:p>
        </w:tc>
        <w:tc>
          <w:tcPr>
            <w:tcW w:w="7938" w:type="dxa"/>
          </w:tcPr>
          <w:p w:rsidR="00830E1F" w:rsidRDefault="00F2294E">
            <w:pPr>
              <w:jc w:val="both"/>
              <w:rPr>
                <w:b/>
                <w:color w:val="000000" w:themeColor="text1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t>Совершенствование правовых основ противодействия коррупции</w:t>
            </w:r>
          </w:p>
          <w:p w:rsidR="00830E1F" w:rsidRDefault="00830E1F">
            <w:pPr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1297" w:type="dxa"/>
          </w:tcPr>
          <w:p w:rsidR="00830E1F" w:rsidRDefault="00830E1F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</w:tr>
      <w:tr w:rsidR="00830E1F">
        <w:tc>
          <w:tcPr>
            <w:tcW w:w="426" w:type="dxa"/>
          </w:tcPr>
          <w:p w:rsidR="00830E1F" w:rsidRDefault="00830E1F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7938" w:type="dxa"/>
          </w:tcPr>
          <w:p w:rsidR="00830E1F" w:rsidRDefault="00F2294E">
            <w:pPr>
              <w:jc w:val="both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Правовое регулирование антикоррупционной политики…………………………………………………………….</w:t>
            </w:r>
          </w:p>
          <w:p w:rsidR="00830E1F" w:rsidRDefault="00830E1F">
            <w:pPr>
              <w:jc w:val="both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1297" w:type="dxa"/>
          </w:tcPr>
          <w:p w:rsidR="00830E1F" w:rsidRDefault="00830E1F">
            <w:pPr>
              <w:jc w:val="center"/>
              <w:rPr>
                <w:color w:val="000000" w:themeColor="text1"/>
                <w:szCs w:val="28"/>
              </w:rPr>
            </w:pPr>
          </w:p>
          <w:p w:rsidR="00830E1F" w:rsidRDefault="00F2294E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3 - 6</w:t>
            </w:r>
          </w:p>
        </w:tc>
      </w:tr>
      <w:tr w:rsidR="00830E1F">
        <w:tc>
          <w:tcPr>
            <w:tcW w:w="426" w:type="dxa"/>
          </w:tcPr>
          <w:p w:rsidR="00830E1F" w:rsidRDefault="00830E1F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7938" w:type="dxa"/>
          </w:tcPr>
          <w:p w:rsidR="00830E1F" w:rsidRDefault="00F2294E">
            <w:pPr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Проведение антикоррупционной экспертизы………………………......................................................</w:t>
            </w:r>
          </w:p>
          <w:p w:rsidR="00830E1F" w:rsidRDefault="00830E1F">
            <w:pPr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1297" w:type="dxa"/>
          </w:tcPr>
          <w:p w:rsidR="00830E1F" w:rsidRDefault="00830E1F">
            <w:pPr>
              <w:jc w:val="center"/>
              <w:rPr>
                <w:color w:val="000000" w:themeColor="text1"/>
                <w:szCs w:val="28"/>
              </w:rPr>
            </w:pPr>
          </w:p>
          <w:p w:rsidR="00830E1F" w:rsidRDefault="00F2294E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6 - 11</w:t>
            </w:r>
          </w:p>
        </w:tc>
      </w:tr>
      <w:tr w:rsidR="00830E1F">
        <w:tc>
          <w:tcPr>
            <w:tcW w:w="426" w:type="dxa"/>
          </w:tcPr>
          <w:p w:rsidR="00830E1F" w:rsidRDefault="00F2294E">
            <w:pPr>
              <w:jc w:val="center"/>
              <w:rPr>
                <w:b/>
                <w:color w:val="000000" w:themeColor="text1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t>2.</w:t>
            </w:r>
          </w:p>
        </w:tc>
        <w:tc>
          <w:tcPr>
            <w:tcW w:w="7938" w:type="dxa"/>
          </w:tcPr>
          <w:p w:rsidR="00830E1F" w:rsidRDefault="00F2294E">
            <w:pPr>
              <w:jc w:val="both"/>
              <w:rPr>
                <w:b/>
                <w:color w:val="000000" w:themeColor="text1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t>Меры обеспечения антикоррупционной политики в Оренбургской области</w:t>
            </w:r>
          </w:p>
          <w:p w:rsidR="00830E1F" w:rsidRDefault="00830E1F">
            <w:pPr>
              <w:jc w:val="both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1297" w:type="dxa"/>
          </w:tcPr>
          <w:p w:rsidR="00830E1F" w:rsidRDefault="00830E1F">
            <w:pPr>
              <w:jc w:val="center"/>
              <w:rPr>
                <w:color w:val="000000" w:themeColor="text1"/>
                <w:szCs w:val="28"/>
              </w:rPr>
            </w:pPr>
          </w:p>
        </w:tc>
      </w:tr>
      <w:tr w:rsidR="00830E1F">
        <w:tc>
          <w:tcPr>
            <w:tcW w:w="426" w:type="dxa"/>
          </w:tcPr>
          <w:p w:rsidR="00830E1F" w:rsidRDefault="00830E1F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7938" w:type="dxa"/>
          </w:tcPr>
          <w:p w:rsidR="00830E1F" w:rsidRDefault="00F2294E">
            <w:pPr>
              <w:jc w:val="both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Деятельность комиссии по координации работы по противодействию коррупции в Оренбургской области………......</w:t>
            </w:r>
          </w:p>
          <w:p w:rsidR="00830E1F" w:rsidRDefault="00830E1F">
            <w:pPr>
              <w:jc w:val="both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1297" w:type="dxa"/>
          </w:tcPr>
          <w:p w:rsidR="00830E1F" w:rsidRDefault="00830E1F">
            <w:pPr>
              <w:jc w:val="center"/>
              <w:rPr>
                <w:color w:val="000000" w:themeColor="text1"/>
                <w:szCs w:val="28"/>
              </w:rPr>
            </w:pPr>
          </w:p>
          <w:p w:rsidR="00830E1F" w:rsidRDefault="00F2294E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  <w:lang w:val="en-US"/>
              </w:rPr>
              <w:t>11</w:t>
            </w:r>
            <w:r>
              <w:rPr>
                <w:color w:val="000000" w:themeColor="text1"/>
                <w:szCs w:val="28"/>
              </w:rPr>
              <w:t xml:space="preserve"> - 13</w:t>
            </w:r>
          </w:p>
        </w:tc>
      </w:tr>
      <w:tr w:rsidR="00830E1F">
        <w:tc>
          <w:tcPr>
            <w:tcW w:w="426" w:type="dxa"/>
          </w:tcPr>
          <w:p w:rsidR="00830E1F" w:rsidRDefault="00830E1F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7938" w:type="dxa"/>
          </w:tcPr>
          <w:p w:rsidR="00830E1F" w:rsidRDefault="00F2294E">
            <w:pPr>
              <w:jc w:val="both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Деятельность регионального антикоррупционного органа……………………………………………………………….</w:t>
            </w:r>
          </w:p>
          <w:p w:rsidR="00830E1F" w:rsidRDefault="00830E1F">
            <w:pPr>
              <w:jc w:val="both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1297" w:type="dxa"/>
          </w:tcPr>
          <w:p w:rsidR="00830E1F" w:rsidRDefault="00830E1F">
            <w:pPr>
              <w:jc w:val="center"/>
              <w:rPr>
                <w:color w:val="000000" w:themeColor="text1"/>
                <w:szCs w:val="28"/>
              </w:rPr>
            </w:pPr>
          </w:p>
          <w:p w:rsidR="00830E1F" w:rsidRDefault="00F2294E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13 - 17</w:t>
            </w:r>
          </w:p>
        </w:tc>
      </w:tr>
      <w:tr w:rsidR="00830E1F">
        <w:tc>
          <w:tcPr>
            <w:tcW w:w="426" w:type="dxa"/>
          </w:tcPr>
          <w:p w:rsidR="00830E1F" w:rsidRDefault="00830E1F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7938" w:type="dxa"/>
          </w:tcPr>
          <w:p w:rsidR="00830E1F" w:rsidRDefault="00F2294E">
            <w:pPr>
              <w:jc w:val="both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Реализация мер по профилактике коррупционных правонарушений в органах государственной власти и органах местного самоуправления ................................................................</w:t>
            </w:r>
          </w:p>
          <w:p w:rsidR="00830E1F" w:rsidRDefault="00830E1F">
            <w:pPr>
              <w:jc w:val="both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1297" w:type="dxa"/>
          </w:tcPr>
          <w:p w:rsidR="00830E1F" w:rsidRDefault="00830E1F">
            <w:pPr>
              <w:jc w:val="center"/>
              <w:rPr>
                <w:color w:val="000000" w:themeColor="text1"/>
                <w:szCs w:val="28"/>
              </w:rPr>
            </w:pPr>
          </w:p>
          <w:p w:rsidR="00830E1F" w:rsidRDefault="00830E1F">
            <w:pPr>
              <w:jc w:val="center"/>
              <w:rPr>
                <w:color w:val="000000" w:themeColor="text1"/>
                <w:szCs w:val="28"/>
              </w:rPr>
            </w:pPr>
          </w:p>
          <w:p w:rsidR="00830E1F" w:rsidRDefault="00F2294E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17 - 20</w:t>
            </w:r>
          </w:p>
        </w:tc>
      </w:tr>
      <w:tr w:rsidR="00830E1F">
        <w:tc>
          <w:tcPr>
            <w:tcW w:w="426" w:type="dxa"/>
          </w:tcPr>
          <w:p w:rsidR="00830E1F" w:rsidRDefault="00F2294E">
            <w:pPr>
              <w:jc w:val="center"/>
              <w:rPr>
                <w:b/>
                <w:color w:val="000000" w:themeColor="text1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t>3.</w:t>
            </w:r>
          </w:p>
        </w:tc>
        <w:tc>
          <w:tcPr>
            <w:tcW w:w="7938" w:type="dxa"/>
          </w:tcPr>
          <w:p w:rsidR="00830E1F" w:rsidRDefault="00F2294E">
            <w:pPr>
              <w:jc w:val="both"/>
              <w:rPr>
                <w:b/>
                <w:color w:val="000000" w:themeColor="text1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t>Реализации антикоррупционных программ.</w:t>
            </w:r>
          </w:p>
          <w:p w:rsidR="00830E1F" w:rsidRDefault="00830E1F">
            <w:pPr>
              <w:jc w:val="both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1297" w:type="dxa"/>
          </w:tcPr>
          <w:p w:rsidR="00830E1F" w:rsidRDefault="00830E1F">
            <w:pPr>
              <w:jc w:val="center"/>
              <w:rPr>
                <w:color w:val="000000" w:themeColor="text1"/>
                <w:szCs w:val="28"/>
              </w:rPr>
            </w:pPr>
          </w:p>
        </w:tc>
      </w:tr>
      <w:tr w:rsidR="00830E1F">
        <w:tc>
          <w:tcPr>
            <w:tcW w:w="426" w:type="dxa"/>
          </w:tcPr>
          <w:p w:rsidR="00830E1F" w:rsidRDefault="00830E1F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7938" w:type="dxa"/>
          </w:tcPr>
          <w:p w:rsidR="00830E1F" w:rsidRDefault="00F2294E">
            <w:pPr>
              <w:jc w:val="both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Региональная программа противодействия коррупции в Оренбургской области на 2025–2029 годы……………………….</w:t>
            </w:r>
          </w:p>
          <w:p w:rsidR="00830E1F" w:rsidRDefault="00830E1F">
            <w:pPr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1297" w:type="dxa"/>
          </w:tcPr>
          <w:p w:rsidR="00830E1F" w:rsidRDefault="00830E1F">
            <w:pPr>
              <w:jc w:val="center"/>
              <w:rPr>
                <w:color w:val="000000" w:themeColor="text1"/>
                <w:szCs w:val="28"/>
              </w:rPr>
            </w:pPr>
          </w:p>
          <w:p w:rsidR="00830E1F" w:rsidRDefault="00F2294E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20 - 23</w:t>
            </w:r>
          </w:p>
        </w:tc>
      </w:tr>
      <w:tr w:rsidR="00830E1F">
        <w:tc>
          <w:tcPr>
            <w:tcW w:w="426" w:type="dxa"/>
          </w:tcPr>
          <w:p w:rsidR="00830E1F" w:rsidRDefault="00830E1F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7938" w:type="dxa"/>
          </w:tcPr>
          <w:p w:rsidR="00830E1F" w:rsidRDefault="00F2294E">
            <w:pPr>
              <w:jc w:val="both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Антикоррупционное просвещение и образование. Взаимодействие с институтами гражданского общества…………………………………………………………….</w:t>
            </w:r>
          </w:p>
          <w:p w:rsidR="00830E1F" w:rsidRDefault="00830E1F">
            <w:pPr>
              <w:jc w:val="both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1297" w:type="dxa"/>
          </w:tcPr>
          <w:p w:rsidR="00830E1F" w:rsidRDefault="00830E1F">
            <w:pPr>
              <w:jc w:val="center"/>
              <w:rPr>
                <w:color w:val="000000" w:themeColor="text1"/>
                <w:szCs w:val="28"/>
              </w:rPr>
            </w:pPr>
          </w:p>
          <w:p w:rsidR="00830E1F" w:rsidRDefault="00830E1F">
            <w:pPr>
              <w:jc w:val="center"/>
              <w:rPr>
                <w:color w:val="000000" w:themeColor="text1"/>
                <w:szCs w:val="28"/>
              </w:rPr>
            </w:pPr>
          </w:p>
          <w:p w:rsidR="00830E1F" w:rsidRDefault="00F2294E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23- 24</w:t>
            </w:r>
          </w:p>
        </w:tc>
      </w:tr>
      <w:tr w:rsidR="00830E1F">
        <w:tc>
          <w:tcPr>
            <w:tcW w:w="426" w:type="dxa"/>
          </w:tcPr>
          <w:p w:rsidR="00830E1F" w:rsidRDefault="00830E1F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7938" w:type="dxa"/>
          </w:tcPr>
          <w:p w:rsidR="00830E1F" w:rsidRDefault="00F2294E">
            <w:pPr>
              <w:jc w:val="both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Социологические исследования мнения населения Оренбургской области о коррупции………………………………</w:t>
            </w:r>
          </w:p>
          <w:p w:rsidR="00830E1F" w:rsidRDefault="00830E1F">
            <w:pPr>
              <w:jc w:val="both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1297" w:type="dxa"/>
          </w:tcPr>
          <w:p w:rsidR="00830E1F" w:rsidRDefault="00830E1F">
            <w:pPr>
              <w:jc w:val="center"/>
              <w:rPr>
                <w:color w:val="000000" w:themeColor="text1"/>
                <w:szCs w:val="28"/>
              </w:rPr>
            </w:pPr>
          </w:p>
          <w:p w:rsidR="00830E1F" w:rsidRDefault="00F2294E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24 - 26</w:t>
            </w:r>
          </w:p>
        </w:tc>
      </w:tr>
      <w:tr w:rsidR="00830E1F">
        <w:tc>
          <w:tcPr>
            <w:tcW w:w="426" w:type="dxa"/>
          </w:tcPr>
          <w:p w:rsidR="00830E1F" w:rsidRDefault="00830E1F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7938" w:type="dxa"/>
          </w:tcPr>
          <w:p w:rsidR="00830E1F" w:rsidRDefault="00F2294E">
            <w:pPr>
              <w:jc w:val="both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Выводы и рекомендации на 2026 год………………………………</w:t>
            </w:r>
          </w:p>
          <w:p w:rsidR="00830E1F" w:rsidRDefault="00830E1F">
            <w:pPr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1297" w:type="dxa"/>
          </w:tcPr>
          <w:p w:rsidR="00830E1F" w:rsidRDefault="00F2294E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26 - 27</w:t>
            </w:r>
          </w:p>
        </w:tc>
      </w:tr>
    </w:tbl>
    <w:p w:rsidR="00830E1F" w:rsidRDefault="00830E1F">
      <w:pPr>
        <w:spacing w:after="0"/>
        <w:jc w:val="center"/>
        <w:rPr>
          <w:b/>
          <w:color w:val="000000" w:themeColor="text1"/>
          <w:szCs w:val="28"/>
        </w:rPr>
      </w:pPr>
    </w:p>
    <w:p w:rsidR="00830E1F" w:rsidRDefault="00830E1F">
      <w:pPr>
        <w:spacing w:after="0"/>
        <w:rPr>
          <w:color w:val="000000" w:themeColor="text1"/>
        </w:rPr>
      </w:pPr>
    </w:p>
    <w:p w:rsidR="00830E1F" w:rsidRDefault="00830E1F">
      <w:pPr>
        <w:spacing w:after="0"/>
        <w:rPr>
          <w:color w:val="000000" w:themeColor="text1"/>
        </w:rPr>
      </w:pPr>
    </w:p>
    <w:p w:rsidR="00830E1F" w:rsidRDefault="00830E1F">
      <w:pPr>
        <w:spacing w:after="0"/>
        <w:rPr>
          <w:color w:val="000000" w:themeColor="text1"/>
        </w:rPr>
      </w:pPr>
    </w:p>
    <w:p w:rsidR="00830E1F" w:rsidRDefault="00830E1F">
      <w:pPr>
        <w:spacing w:after="0"/>
        <w:rPr>
          <w:color w:val="000000" w:themeColor="text1"/>
        </w:rPr>
      </w:pPr>
    </w:p>
    <w:p w:rsidR="00830E1F" w:rsidRDefault="00830E1F">
      <w:pPr>
        <w:spacing w:after="0"/>
        <w:rPr>
          <w:color w:val="000000" w:themeColor="text1"/>
        </w:rPr>
      </w:pPr>
    </w:p>
    <w:p w:rsidR="00830E1F" w:rsidRDefault="00830E1F">
      <w:pPr>
        <w:spacing w:after="0"/>
        <w:rPr>
          <w:color w:val="000000" w:themeColor="text1"/>
        </w:rPr>
      </w:pPr>
    </w:p>
    <w:p w:rsidR="00830E1F" w:rsidRDefault="00830E1F">
      <w:pPr>
        <w:spacing w:after="0"/>
        <w:rPr>
          <w:color w:val="000000" w:themeColor="text1"/>
        </w:rPr>
      </w:pPr>
    </w:p>
    <w:p w:rsidR="00830E1F" w:rsidRDefault="00830E1F">
      <w:pPr>
        <w:spacing w:after="0"/>
        <w:rPr>
          <w:color w:val="000000" w:themeColor="text1"/>
        </w:rPr>
      </w:pPr>
    </w:p>
    <w:p w:rsidR="00830E1F" w:rsidRDefault="00F2294E">
      <w:pPr>
        <w:spacing w:after="0"/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1. Совершенствование правовых основ</w:t>
      </w:r>
    </w:p>
    <w:p w:rsidR="00830E1F" w:rsidRDefault="00F2294E">
      <w:pPr>
        <w:spacing w:after="0"/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противодействия коррупции</w:t>
      </w:r>
    </w:p>
    <w:p w:rsidR="00830E1F" w:rsidRDefault="00830E1F">
      <w:pPr>
        <w:spacing w:after="0"/>
        <w:jc w:val="center"/>
        <w:rPr>
          <w:b/>
          <w:color w:val="000000" w:themeColor="text1"/>
          <w:sz w:val="32"/>
          <w:szCs w:val="32"/>
        </w:rPr>
      </w:pPr>
    </w:p>
    <w:p w:rsidR="00830E1F" w:rsidRDefault="00F2294E">
      <w:pPr>
        <w:spacing w:after="0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Правовое регулирование антикоррупционной политики</w:t>
      </w:r>
    </w:p>
    <w:p w:rsidR="00830E1F" w:rsidRDefault="00830E1F">
      <w:pPr>
        <w:spacing w:after="0"/>
        <w:ind w:firstLine="709"/>
        <w:jc w:val="both"/>
        <w:rPr>
          <w:color w:val="000000" w:themeColor="text1"/>
        </w:rPr>
      </w:pP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В 2025 году на территории Оренбургской области последовательно выполнялись основные задачи государственной антикоррупционной политики. </w:t>
      </w:r>
    </w:p>
    <w:p w:rsidR="00830E1F" w:rsidRDefault="00F2294E">
      <w:pPr>
        <w:spacing w:after="0"/>
        <w:ind w:firstLine="709"/>
        <w:jc w:val="both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В соответствии с требованиями федерального и областного законодательства, в целях минимизации условий для проявления коррупции, исполнительными органами Оренбургской области (далее – исполнительные органы) и органами местного самоуправления Оренбургской области (далее – органы местного самоуправления) реализуется комплекс мероприятий антикоррупционной направленности.</w:t>
      </w:r>
    </w:p>
    <w:p w:rsidR="00830E1F" w:rsidRDefault="00F2294E">
      <w:pPr>
        <w:spacing w:after="0"/>
        <w:ind w:firstLine="709"/>
        <w:jc w:val="both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Законом Оренбургской области от 15 сентября 2008 года                                    № 2369/497-IV-ОЗ «О противодействии коррупции в Оренбургской области» сформирована организационная система противодействия коррупции, включающая в себя:</w:t>
      </w:r>
    </w:p>
    <w:p w:rsidR="00830E1F" w:rsidRDefault="00F2294E">
      <w:pPr>
        <w:spacing w:after="0"/>
        <w:ind w:firstLine="709"/>
        <w:jc w:val="both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 xml:space="preserve">комиссию по координации работы по противодействию коррупции                         в Оренбургской области; </w:t>
      </w:r>
    </w:p>
    <w:p w:rsidR="00830E1F" w:rsidRDefault="00F2294E">
      <w:pPr>
        <w:spacing w:after="0"/>
        <w:ind w:firstLine="709"/>
        <w:jc w:val="both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исполнительный орган Оренбургской области, обеспечивающий                  в пределах своих полномочий профилактику коррупционных правонарушений на территории Оренбургской области – комитет по профилактике коррупционных правонарушений Оренбургской области (далее – комитет);</w:t>
      </w:r>
    </w:p>
    <w:p w:rsidR="00830E1F" w:rsidRDefault="00F2294E">
      <w:pPr>
        <w:spacing w:after="0"/>
        <w:ind w:firstLine="709"/>
        <w:jc w:val="both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управление государственной гражданской службы и кадровой работы аппарата Губернатора и Правительства Оренбургской области (в части реализации функций по противодействию коррупции);</w:t>
      </w:r>
    </w:p>
    <w:p w:rsidR="00830E1F" w:rsidRDefault="00F2294E">
      <w:pPr>
        <w:spacing w:after="0"/>
        <w:ind w:firstLine="709"/>
        <w:jc w:val="both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должностных лиц, ответственных за реализацию антикоррупционной политики в исполнительных органах и органах местного самоуправления;</w:t>
      </w:r>
    </w:p>
    <w:p w:rsidR="00830E1F" w:rsidRDefault="00F2294E">
      <w:pPr>
        <w:spacing w:after="0"/>
        <w:ind w:firstLine="709"/>
        <w:jc w:val="both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подразделения кадровых служб по профилактике коррупционных и иных правонарушений (должностных лиц кадровых служб, ответственных                                 за профилактику коррупционных и иных правонарушений);</w:t>
      </w:r>
    </w:p>
    <w:p w:rsidR="00830E1F" w:rsidRDefault="00F2294E">
      <w:pPr>
        <w:spacing w:after="0"/>
        <w:ind w:firstLine="709"/>
        <w:jc w:val="both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lastRenderedPageBreak/>
        <w:t>комиссии по соблюдению требований к служебному поведению                               и урегулированию конфликта интересов, действующие в отношении всех категорий должностей, определенных соответствующим реестром Оренбургской области.</w:t>
      </w:r>
    </w:p>
    <w:p w:rsidR="00830E1F" w:rsidRDefault="00F2294E">
      <w:pPr>
        <w:spacing w:after="0"/>
        <w:ind w:firstLine="709"/>
        <w:jc w:val="both"/>
        <w:outlineLvl w:val="0"/>
        <w:rPr>
          <w:color w:val="000000" w:themeColor="text1"/>
        </w:rPr>
      </w:pPr>
      <w:r>
        <w:rPr>
          <w:color w:val="000000" w:themeColor="text1"/>
        </w:rPr>
        <w:t xml:space="preserve">Основные принципы противодействия коррупции, правовые                                        и организационные основы предупреждения коррупции и борьбы с ней, минимизации и (или) ликвидации последствий коррупционных правонарушений установлены Федеральным законом от 25 декабря 2008 года № 273-ФЗ                                                   «О противодействии коррупции» и Законом Оренбургской области                            от 15 сентября 2008 года </w:t>
      </w:r>
      <w:r>
        <w:rPr>
          <w:rFonts w:eastAsiaTheme="minorHAnsi"/>
          <w:color w:val="000000" w:themeColor="text1"/>
          <w:szCs w:val="28"/>
          <w:lang w:eastAsia="en-US"/>
        </w:rPr>
        <w:t xml:space="preserve">№ 2369/497-IV-ОЗ «О противодействии коррупции                   в Оренбургской области». </w:t>
      </w:r>
      <w:r>
        <w:rPr>
          <w:color w:val="000000" w:themeColor="text1"/>
        </w:rPr>
        <w:t>Вместе с тем, многогранность                                              коррупционных проявлений требует постоянного совершенствования законодательной базы, определяющей как общие подходы, так и практические аспекты профилактики коррупции.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В 2025 году издано 11 указов Губернатора Оренбургской области, 2 распоряжения Губернатора Оренбургской области, а также приняты 2 постановления Правительства Оренбургской области, вносящие необходимые изменения в региональные нормативные акты и обеспечивающие правоприменительную практику федерального и регионального законодательства в сфере противодействия коррупции.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  <w:szCs w:val="28"/>
        </w:rPr>
        <w:t>Указ Губернатора Оренбургской области от 20 января 2025 года № 26-ук «</w:t>
      </w:r>
      <w:r>
        <w:rPr>
          <w:rFonts w:eastAsiaTheme="minorHAnsi"/>
          <w:color w:val="000000" w:themeColor="text1"/>
          <w:szCs w:val="28"/>
          <w:lang w:eastAsia="en-US"/>
        </w:rPr>
        <w:t>О внесении изменений в указ Губернатора Оренбургской области</w:t>
      </w:r>
      <w:r>
        <w:rPr>
          <w:color w:val="000000" w:themeColor="text1"/>
          <w:szCs w:val="28"/>
        </w:rPr>
        <w:t xml:space="preserve"> от 18 декабря 2008 года № 159-ук»</w:t>
      </w:r>
      <w:r>
        <w:rPr>
          <w:color w:val="000000" w:themeColor="text1"/>
        </w:rPr>
        <w:t>.</w:t>
      </w:r>
    </w:p>
    <w:p w:rsidR="00830E1F" w:rsidRDefault="00F2294E">
      <w:pPr>
        <w:spacing w:after="0"/>
        <w:ind w:firstLine="709"/>
        <w:jc w:val="both"/>
        <w:rPr>
          <w:rFonts w:eastAsiaTheme="minorHAnsi"/>
          <w:color w:val="000000" w:themeColor="text1"/>
        </w:rPr>
      </w:pPr>
      <w:r>
        <w:rPr>
          <w:color w:val="000000" w:themeColor="text1"/>
          <w:szCs w:val="28"/>
        </w:rPr>
        <w:t>Указ Губернатора Оренбургской области от 20 января 2025 года № 27-ук «</w:t>
      </w:r>
      <w:r>
        <w:rPr>
          <w:rFonts w:eastAsiaTheme="minorHAnsi"/>
          <w:color w:val="000000" w:themeColor="text1"/>
          <w:szCs w:val="28"/>
          <w:lang w:eastAsia="en-US"/>
        </w:rPr>
        <w:t>О внесении изменений в указ Губернатора Оренбургской области</w:t>
      </w:r>
      <w:r>
        <w:rPr>
          <w:color w:val="000000" w:themeColor="text1"/>
          <w:szCs w:val="28"/>
        </w:rPr>
        <w:t xml:space="preserve"> от 30 августа 2017 года № 463-ук»</w:t>
      </w:r>
      <w:r>
        <w:rPr>
          <w:color w:val="000000" w:themeColor="text1"/>
        </w:rPr>
        <w:t>.</w:t>
      </w:r>
    </w:p>
    <w:p w:rsidR="00830E1F" w:rsidRDefault="00F2294E">
      <w:pPr>
        <w:spacing w:after="0"/>
        <w:ind w:firstLine="709"/>
        <w:jc w:val="both"/>
        <w:rPr>
          <w:rFonts w:eastAsiaTheme="minorHAnsi"/>
          <w:color w:val="000000" w:themeColor="text1"/>
        </w:rPr>
      </w:pPr>
      <w:r>
        <w:rPr>
          <w:color w:val="000000" w:themeColor="text1"/>
          <w:szCs w:val="28"/>
        </w:rPr>
        <w:t>Указ Губернатора Оренбургской области от 30 января 2025 года № 47-ук «</w:t>
      </w:r>
      <w:r>
        <w:rPr>
          <w:rFonts w:eastAsiaTheme="minorHAnsi"/>
          <w:color w:val="000000" w:themeColor="text1"/>
          <w:szCs w:val="28"/>
          <w:lang w:eastAsia="en-US"/>
        </w:rPr>
        <w:t>О внесении изменений в указ Губернатора Оренбургской области</w:t>
      </w:r>
      <w:r>
        <w:rPr>
          <w:color w:val="000000" w:themeColor="text1"/>
          <w:szCs w:val="28"/>
        </w:rPr>
        <w:t xml:space="preserve"> от 06 ноября 2013 года № 980-ук»</w:t>
      </w:r>
      <w:r>
        <w:rPr>
          <w:color w:val="000000" w:themeColor="text1"/>
        </w:rPr>
        <w:t>.</w:t>
      </w:r>
    </w:p>
    <w:p w:rsidR="00830E1F" w:rsidRDefault="00F2294E">
      <w:pPr>
        <w:spacing w:after="0"/>
        <w:ind w:firstLine="709"/>
        <w:jc w:val="both"/>
        <w:rPr>
          <w:rFonts w:eastAsiaTheme="minorHAnsi"/>
          <w:color w:val="000000" w:themeColor="text1"/>
        </w:rPr>
      </w:pPr>
      <w:r>
        <w:rPr>
          <w:color w:val="000000" w:themeColor="text1"/>
          <w:szCs w:val="28"/>
        </w:rPr>
        <w:t>Указ Губернатора Оренбургской области от 30 января 2025 года № 48-ук «</w:t>
      </w:r>
      <w:r>
        <w:rPr>
          <w:rFonts w:eastAsiaTheme="minorHAnsi"/>
          <w:color w:val="000000" w:themeColor="text1"/>
          <w:szCs w:val="28"/>
          <w:lang w:eastAsia="en-US"/>
        </w:rPr>
        <w:t>О внесении изменений в указ Губернатора Оренбургской области</w:t>
      </w:r>
      <w:r>
        <w:rPr>
          <w:color w:val="000000" w:themeColor="text1"/>
          <w:szCs w:val="28"/>
        </w:rPr>
        <w:t xml:space="preserve"> от 12 мая 2014 года № 281-ук»</w:t>
      </w:r>
      <w:r>
        <w:rPr>
          <w:color w:val="000000" w:themeColor="text1"/>
        </w:rPr>
        <w:t>.</w:t>
      </w:r>
    </w:p>
    <w:p w:rsidR="00830E1F" w:rsidRDefault="00F2294E">
      <w:pPr>
        <w:spacing w:after="0"/>
        <w:ind w:firstLine="709"/>
        <w:jc w:val="both"/>
        <w:rPr>
          <w:rFonts w:eastAsiaTheme="minorHAnsi"/>
          <w:color w:val="000000" w:themeColor="text1"/>
        </w:rPr>
      </w:pPr>
      <w:r>
        <w:rPr>
          <w:color w:val="000000" w:themeColor="text1"/>
          <w:szCs w:val="28"/>
        </w:rPr>
        <w:t>Указ Губернатора Оренбургской области от 30 января 2025 года № 49-ук «</w:t>
      </w:r>
      <w:r>
        <w:rPr>
          <w:rFonts w:eastAsiaTheme="minorHAnsi"/>
          <w:color w:val="000000" w:themeColor="text1"/>
          <w:szCs w:val="28"/>
          <w:lang w:eastAsia="en-US"/>
        </w:rPr>
        <w:t>О внесении изменений в указ Губернатора Оренбургской области</w:t>
      </w:r>
      <w:r>
        <w:rPr>
          <w:color w:val="000000" w:themeColor="text1"/>
          <w:szCs w:val="28"/>
        </w:rPr>
        <w:t xml:space="preserve"> от 15 октября 2015 года № 791-ук»</w:t>
      </w:r>
      <w:r>
        <w:rPr>
          <w:color w:val="000000" w:themeColor="text1"/>
        </w:rPr>
        <w:t>.</w:t>
      </w:r>
    </w:p>
    <w:p w:rsidR="00830E1F" w:rsidRDefault="00F2294E">
      <w:pPr>
        <w:spacing w:after="0"/>
        <w:ind w:firstLine="709"/>
        <w:jc w:val="both"/>
        <w:rPr>
          <w:rFonts w:eastAsiaTheme="minorHAnsi"/>
          <w:color w:val="000000" w:themeColor="text1"/>
        </w:rPr>
      </w:pPr>
      <w:r>
        <w:rPr>
          <w:color w:val="000000" w:themeColor="text1"/>
          <w:szCs w:val="28"/>
        </w:rPr>
        <w:t>Указ Губернатора Оренбургской области от 30 января 2025 года № 50-ук «</w:t>
      </w:r>
      <w:r>
        <w:rPr>
          <w:rFonts w:eastAsiaTheme="minorHAnsi"/>
          <w:color w:val="000000" w:themeColor="text1"/>
          <w:szCs w:val="28"/>
          <w:lang w:eastAsia="en-US"/>
        </w:rPr>
        <w:t>О внесении изменений в указ Губернатора Оренбургской области</w:t>
      </w:r>
      <w:r>
        <w:rPr>
          <w:color w:val="000000" w:themeColor="text1"/>
          <w:szCs w:val="28"/>
        </w:rPr>
        <w:t xml:space="preserve"> от 28 января 2010 года № 11-ук»</w:t>
      </w:r>
      <w:r>
        <w:rPr>
          <w:color w:val="000000" w:themeColor="text1"/>
        </w:rPr>
        <w:t>.</w:t>
      </w:r>
    </w:p>
    <w:p w:rsidR="00830E1F" w:rsidRDefault="00F2294E">
      <w:pPr>
        <w:spacing w:after="0"/>
        <w:ind w:firstLine="709"/>
        <w:jc w:val="both"/>
        <w:rPr>
          <w:rFonts w:eastAsiaTheme="minorHAnsi"/>
          <w:color w:val="000000" w:themeColor="text1"/>
        </w:rPr>
      </w:pPr>
      <w:r>
        <w:rPr>
          <w:color w:val="000000" w:themeColor="text1"/>
          <w:szCs w:val="28"/>
        </w:rPr>
        <w:lastRenderedPageBreak/>
        <w:t>Указ Губернатора Оренбургской области от 30 января 2025 года № 53-ук «</w:t>
      </w:r>
      <w:r>
        <w:rPr>
          <w:rFonts w:eastAsiaTheme="minorHAnsi"/>
          <w:color w:val="000000" w:themeColor="text1"/>
          <w:szCs w:val="28"/>
          <w:lang w:eastAsia="en-US"/>
        </w:rPr>
        <w:t>О внесении изменений в указ Губернатора Оренбургской области</w:t>
      </w:r>
      <w:r>
        <w:rPr>
          <w:color w:val="000000" w:themeColor="text1"/>
          <w:szCs w:val="28"/>
        </w:rPr>
        <w:t xml:space="preserve"> от 29 декабря 2018 года № 774-ук»</w:t>
      </w:r>
      <w:r>
        <w:rPr>
          <w:color w:val="000000" w:themeColor="text1"/>
        </w:rPr>
        <w:t>.</w:t>
      </w:r>
    </w:p>
    <w:p w:rsidR="00830E1F" w:rsidRDefault="00F2294E">
      <w:pPr>
        <w:spacing w:after="0"/>
        <w:ind w:firstLine="709"/>
        <w:jc w:val="both"/>
        <w:rPr>
          <w:rFonts w:eastAsiaTheme="minorHAnsi"/>
          <w:color w:val="000000" w:themeColor="text1"/>
        </w:rPr>
      </w:pPr>
      <w:r>
        <w:rPr>
          <w:color w:val="000000" w:themeColor="text1"/>
          <w:szCs w:val="28"/>
        </w:rPr>
        <w:t>Указ Губернатора Оренбургской области от 13 февраля 2025 года № 76-ук «</w:t>
      </w:r>
      <w:r>
        <w:rPr>
          <w:rFonts w:eastAsiaTheme="minorHAnsi"/>
          <w:color w:val="000000" w:themeColor="text1"/>
          <w:szCs w:val="28"/>
          <w:lang w:eastAsia="en-US"/>
        </w:rPr>
        <w:t>О внесении изменений в указ Губернатора Оренбургской области</w:t>
      </w:r>
      <w:r>
        <w:rPr>
          <w:color w:val="000000" w:themeColor="text1"/>
          <w:szCs w:val="28"/>
        </w:rPr>
        <w:t xml:space="preserve"> от 13 апреля 2015 года № 237-ук»</w:t>
      </w:r>
      <w:r>
        <w:rPr>
          <w:color w:val="000000" w:themeColor="text1"/>
        </w:rPr>
        <w:t>.</w:t>
      </w:r>
    </w:p>
    <w:p w:rsidR="00830E1F" w:rsidRDefault="00F2294E">
      <w:pPr>
        <w:spacing w:after="0"/>
        <w:ind w:firstLine="709"/>
        <w:jc w:val="both"/>
        <w:rPr>
          <w:rFonts w:eastAsiaTheme="minorHAnsi"/>
          <w:color w:val="000000" w:themeColor="text1"/>
          <w:szCs w:val="28"/>
        </w:rPr>
      </w:pPr>
      <w:r>
        <w:rPr>
          <w:color w:val="000000" w:themeColor="text1"/>
          <w:szCs w:val="28"/>
        </w:rPr>
        <w:t>Указ Губернатора Оренбургской области от 13 февраля 2025 года № 78-ук «</w:t>
      </w:r>
      <w:r>
        <w:rPr>
          <w:rFonts w:eastAsiaTheme="minorHAnsi"/>
          <w:color w:val="000000" w:themeColor="text1"/>
          <w:szCs w:val="28"/>
          <w:lang w:eastAsia="en-US"/>
        </w:rPr>
        <w:t>О внесении изменений в указ Губернатора Оренбургской области</w:t>
      </w:r>
      <w:r>
        <w:rPr>
          <w:color w:val="000000" w:themeColor="text1"/>
          <w:szCs w:val="28"/>
        </w:rPr>
        <w:t xml:space="preserve"> от 06 июня 2016 года № 278-ук». </w:t>
      </w:r>
    </w:p>
    <w:p w:rsidR="00830E1F" w:rsidRDefault="00F2294E">
      <w:pPr>
        <w:spacing w:after="0"/>
        <w:ind w:firstLine="709"/>
        <w:jc w:val="both"/>
        <w:rPr>
          <w:rFonts w:eastAsiaTheme="minorHAnsi"/>
          <w:color w:val="000000" w:themeColor="text1"/>
        </w:rPr>
      </w:pPr>
      <w:r>
        <w:rPr>
          <w:color w:val="000000" w:themeColor="text1"/>
          <w:szCs w:val="28"/>
        </w:rPr>
        <w:t>Вышеуказанные нормативные правовые акты изданы в целях приведения в соответствие положениям Федерального закона от 08 августа 2024 года               № 232-ФЗ «О внесении изменений в отдельные законодательные акты Российской Федерации и признании утратившими силу отдельных законодательных актов (положений законодательных актов) Российской Федерации</w:t>
      </w:r>
      <w:r>
        <w:rPr>
          <w:color w:val="000000" w:themeColor="text1"/>
        </w:rPr>
        <w:t>».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  <w:szCs w:val="28"/>
        </w:rPr>
        <w:t>Указом Губернатора Оренбургской области от 25 июля 2025 года               № 320-ук «</w:t>
      </w:r>
      <w:r>
        <w:rPr>
          <w:rFonts w:eastAsiaTheme="minorHAnsi"/>
          <w:color w:val="000000" w:themeColor="text1"/>
          <w:szCs w:val="28"/>
          <w:lang w:eastAsia="en-US"/>
        </w:rPr>
        <w:t>О внесении изменений в указ Губернатора Оренбургской области</w:t>
      </w:r>
      <w:r>
        <w:rPr>
          <w:color w:val="000000" w:themeColor="text1"/>
          <w:szCs w:val="28"/>
        </w:rPr>
        <w:t xml:space="preserve">              от 13 апреля 2015 года № 235-ук» утвержден типовой план по профилактике коррупционных правонарушений в исполнительном органе Оренбургской области.</w:t>
      </w:r>
    </w:p>
    <w:p w:rsidR="00830E1F" w:rsidRDefault="00F2294E">
      <w:pPr>
        <w:spacing w:after="0"/>
        <w:ind w:firstLine="709"/>
        <w:jc w:val="both"/>
        <w:rPr>
          <w:rFonts w:eastAsiaTheme="minorHAnsi"/>
          <w:color w:val="000000" w:themeColor="text1"/>
        </w:rPr>
      </w:pPr>
      <w:r>
        <w:rPr>
          <w:color w:val="000000" w:themeColor="text1"/>
          <w:szCs w:val="28"/>
        </w:rPr>
        <w:t>Указ Губернатора Оренбургской области от 24 декабря 2025 года                 № 711-ук «</w:t>
      </w:r>
      <w:r>
        <w:rPr>
          <w:rFonts w:eastAsiaTheme="minorHAnsi"/>
          <w:color w:val="000000" w:themeColor="text1"/>
          <w:szCs w:val="28"/>
          <w:lang w:eastAsia="en-US"/>
        </w:rPr>
        <w:t>О внесении изменений в указ Губернатора Оренбургской области</w:t>
      </w:r>
      <w:r>
        <w:rPr>
          <w:color w:val="000000" w:themeColor="text1"/>
          <w:szCs w:val="28"/>
        </w:rPr>
        <w:t xml:space="preserve">             от 15 октября 2015 № 791-ук» издан в целях приведения в соответствие состава комиссии по координации работы по противодействию коррупции с актуальным составом руководителей исполнительных органов Оренбургской области, территориальных органов федеральных органов исполнительной власти.</w:t>
      </w:r>
    </w:p>
    <w:p w:rsidR="00830E1F" w:rsidRDefault="00F2294E">
      <w:pPr>
        <w:spacing w:after="0"/>
        <w:ind w:firstLine="709"/>
        <w:jc w:val="both"/>
        <w:rPr>
          <w:rFonts w:eastAsiaTheme="minorHAnsi"/>
          <w:color w:val="000000" w:themeColor="text1"/>
        </w:rPr>
      </w:pPr>
      <w:r>
        <w:rPr>
          <w:color w:val="000000" w:themeColor="text1"/>
          <w:szCs w:val="28"/>
        </w:rPr>
        <w:t>Распоряжение Губернатора Оренбургской области от 18 апреля 2025 года № 97-р «</w:t>
      </w:r>
      <w:r>
        <w:rPr>
          <w:rFonts w:eastAsiaTheme="minorHAnsi"/>
          <w:color w:val="000000" w:themeColor="text1"/>
          <w:szCs w:val="28"/>
          <w:lang w:eastAsia="en-US"/>
        </w:rPr>
        <w:t>О внесении изменений в распоряжение Губернатора Оренбургской области</w:t>
      </w:r>
      <w:r>
        <w:rPr>
          <w:color w:val="000000" w:themeColor="text1"/>
          <w:szCs w:val="28"/>
        </w:rPr>
        <w:t xml:space="preserve"> от 30 декабря 2014 года № 360-р» издано в целях приведения                           в соответствие положениям Федерального закона от 08 августа 2024 года                  № 232-ФЗ «О внесении изменений в отдельные законодательные акты Российской Федерации и признании утратившими силу отдельных законодательных актов (положений законодательных актов) Российской Федерации</w:t>
      </w:r>
      <w:r>
        <w:rPr>
          <w:color w:val="000000" w:themeColor="text1"/>
        </w:rPr>
        <w:t>».</w:t>
      </w:r>
    </w:p>
    <w:p w:rsidR="00830E1F" w:rsidRDefault="00F2294E">
      <w:pPr>
        <w:spacing w:after="0"/>
        <w:ind w:firstLine="709"/>
        <w:jc w:val="both"/>
        <w:rPr>
          <w:rFonts w:eastAsiaTheme="minorHAnsi"/>
          <w:color w:val="000000" w:themeColor="text1"/>
          <w:szCs w:val="28"/>
        </w:rPr>
      </w:pPr>
      <w:r>
        <w:rPr>
          <w:color w:val="000000" w:themeColor="text1"/>
          <w:szCs w:val="28"/>
        </w:rPr>
        <w:t>Распоряжением Губернатора Оренбургской области от 16 декабря 2025 года № 376-р «</w:t>
      </w:r>
      <w:r>
        <w:rPr>
          <w:rFonts w:eastAsiaTheme="minorHAnsi"/>
          <w:color w:val="000000" w:themeColor="text1"/>
          <w:szCs w:val="28"/>
          <w:lang w:eastAsia="en-US"/>
        </w:rPr>
        <w:t>О внесении изменений в распоряжение Губернатора Оренбургской области</w:t>
      </w:r>
      <w:r>
        <w:rPr>
          <w:color w:val="000000" w:themeColor="text1"/>
          <w:szCs w:val="28"/>
        </w:rPr>
        <w:t xml:space="preserve"> от 18 декабря 2019 года № 336-р» определены специально уполномоченные лица по направлению запросов в кредитные организации, налоговые органы Российской Федерации, органы, осуществляющие </w:t>
      </w:r>
      <w:r>
        <w:rPr>
          <w:color w:val="000000" w:themeColor="text1"/>
          <w:szCs w:val="28"/>
        </w:rPr>
        <w:lastRenderedPageBreak/>
        <w:t>государственную регистрацию прав на недвижимое имущество и сделок с ним, Центральный каталог кредитных историй, Центральный банк Российской Федерации, бюро кредитных историй, операторам информационных систем, в которых осуществляется  выпуск цифровых финансовых активов, держателям реестра владельцев ценных бумаг и депозитариям при осуществлении проверок в целях противодействия коррупции.</w:t>
      </w:r>
    </w:p>
    <w:p w:rsidR="00830E1F" w:rsidRDefault="00F2294E">
      <w:pPr>
        <w:spacing w:after="0"/>
        <w:ind w:firstLine="709"/>
        <w:jc w:val="both"/>
        <w:rPr>
          <w:rFonts w:eastAsiaTheme="minorHAnsi"/>
          <w:color w:val="000000" w:themeColor="text1"/>
        </w:rPr>
      </w:pPr>
      <w:r>
        <w:rPr>
          <w:color w:val="000000" w:themeColor="text1"/>
          <w:szCs w:val="28"/>
        </w:rPr>
        <w:t>Постановление Правительства Оренбургской области от 04 февраля 2025 года № 93-пп «О внесении изменений в некоторые постановления Правительства Оренбургской области» принято в целях приведения в соответствие положениям Федерального закона от 08 августа 2024 года № 232-ФЗ «О внесении изменений в отдельные законодательные акты Российской Федерации и признании утратившими силу отдельных законодательных актов (положений законодательных актов) Российской Федерации</w:t>
      </w:r>
      <w:r>
        <w:rPr>
          <w:color w:val="000000" w:themeColor="text1"/>
        </w:rPr>
        <w:t>».</w:t>
      </w:r>
    </w:p>
    <w:p w:rsidR="00830E1F" w:rsidRDefault="00F2294E">
      <w:pPr>
        <w:spacing w:after="0"/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Постановлением Правительства Оренбургской области от 24 декабря 2025 года № 1588-пп «О внесении изменений в постановление Правительства Оренбургской области от 29 апреля 2022 года № 406-пп»</w:t>
      </w:r>
      <w:r>
        <w:rPr>
          <w:color w:val="00B0F0"/>
          <w:szCs w:val="28"/>
        </w:rPr>
        <w:t xml:space="preserve"> </w:t>
      </w:r>
      <w:r>
        <w:rPr>
          <w:color w:val="000000" w:themeColor="text1"/>
          <w:szCs w:val="28"/>
        </w:rPr>
        <w:t>установлены критерии оценки при проведении мониторинга эффективности деятельности подразделений (специалистов) кадровых служб исполнительных органов Оренбургской области по профилактике коррупционных и иных правонарушений.</w:t>
      </w:r>
    </w:p>
    <w:p w:rsidR="00830E1F" w:rsidRDefault="00F2294E">
      <w:pPr>
        <w:spacing w:after="0"/>
        <w:jc w:val="center"/>
        <w:rPr>
          <w:b/>
          <w:bCs/>
          <w:color w:val="000000" w:themeColor="text1"/>
        </w:rPr>
      </w:pPr>
      <w:r>
        <w:rPr>
          <w:b/>
          <w:color w:val="000000" w:themeColor="text1"/>
        </w:rPr>
        <w:t>Проведение антикоррупционной экспертизы</w:t>
      </w:r>
    </w:p>
    <w:p w:rsidR="00830E1F" w:rsidRDefault="00830E1F">
      <w:pPr>
        <w:spacing w:after="0"/>
        <w:ind w:firstLine="709"/>
        <w:jc w:val="both"/>
        <w:rPr>
          <w:color w:val="000000" w:themeColor="text1"/>
        </w:rPr>
      </w:pP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Законом Российской Федерации                                 от 25 декабря 2008 года № 273-ФЗ                                         «О противодействии коррупции» антикоррупционная экспертиза нормативных правовых актов и их проектов отнесена к одной                из ключевых мер профилактики коррупции.                        Ее проведение осуществляется в соответствии                          с Федеральным законом от 17 июля 2009 года                      № 172-ФЗ «Об антикоррупционной экспертизе нормативных правовых актов и проектов нормативных правовых актов».</w:t>
      </w: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-196850</wp:posOffset>
                </wp:positionH>
                <wp:positionV relativeFrom="paragraph">
                  <wp:posOffset>184785</wp:posOffset>
                </wp:positionV>
                <wp:extent cx="2044800" cy="1360800"/>
                <wp:effectExtent l="323850" t="323850" r="317500" b="316230"/>
                <wp:wrapSquare wrapText="bothSides"/>
                <wp:docPr id="3" name="Рисунок 38" descr="C:\Users\user\Desktop\antikor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user\Desktop\antikor.gif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2044800" cy="136080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254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251653120;o:allowoverlap:true;o:allowincell:true;mso-position-horizontal-relative:text;margin-left:-15.50pt;mso-position-horizontal:absolute;mso-position-vertical-relative:text;margin-top:14.55pt;mso-position-vertical:absolute;width:161.01pt;height:107.15pt;mso-wrap-distance-left:9.00pt;mso-wrap-distance-top:0.00pt;mso-wrap-distance-right:9.00pt;mso-wrap-distance-bottom:0.00pt;" strokecolor="#FFFFFF" strokeweight="7.00pt">
                <v:path textboxrect="3247,4880,96750,95115"/>
                <w10:wrap type="square"/>
                <v:imagedata r:id="rId15" o:title=""/>
              </v:shape>
            </w:pict>
          </mc:Fallback>
        </mc:AlternateConten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Законом Оренбургской области от 15 сентября 2008 года                                                   № 2369/497-IV-ОЗ «О противодействии коррупции в Оренбургской области», указом Губернатора Оренбургской области от 18 декабря 2008 года № 159-ук, утвержден порядок проведения антикоррупционной экспертизы законов Оренбургской области и иных региональных правовых актов.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Целями антикоррупционной экспертизы являются исключение фактов принятия законов Оренбургской области, правовых актов субъекта, исполнительных органов, в том числе, не носящих нормативного характера, договоров и соглашений, заключаемых от имени Оренбургской области, которые создают (или) повышают вероятность совершения коррупционных действий                       в процессе их реализации, а также устранение в актах, не носящих нормативного характера, коррупциогенных факторов.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Антикоррупционной экспертизе подлежат как действующие нормативные правовые акты, так и проекты нормативных правовых актов.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Согласно нормам законодательства Российской Федерации антикоррупционная экспертиза нормативных правовых актов и их проектов, прежде всего, проводится разработчиками, то есть исполнительными органами и органами местного самоуправления.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В этих целях во всех исполнительных органах и органах местного самоуправления определены лица, ответственные за проведение антикоррупционной экспертизы. Как правило, это руководители структурных подразделений указанных органов и специалисты юридических служб.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В соответствии со ст. 9 Закона Оренбургской области </w:t>
      </w:r>
      <w:r>
        <w:rPr>
          <w:color w:val="000000" w:themeColor="text1"/>
        </w:rPr>
        <w:br/>
        <w:t xml:space="preserve">от 15 сентября 2008 года № 2369/497-IV-ОЗ «О противодействии коррупции </w:t>
      </w:r>
      <w:r>
        <w:rPr>
          <w:color w:val="000000" w:themeColor="text1"/>
        </w:rPr>
        <w:br/>
        <w:t xml:space="preserve">в Оренбургской области» и разделом III указа Губернатора Оренбургской области от 18 декабря 2008 года № 159-ук «О порядке проведения антикоррупционной экспертизы правовых актов и проектов правовых актов Губернатора Оренбургской области, Правительства Оренбургской области </w:t>
      </w:r>
      <w:r>
        <w:rPr>
          <w:color w:val="000000" w:themeColor="text1"/>
        </w:rPr>
        <w:br/>
        <w:t xml:space="preserve">и исполнительных органов Оренбургской области» в 2025 году </w:t>
      </w:r>
      <w:r>
        <w:rPr>
          <w:color w:val="000000" w:themeColor="text1"/>
        </w:rPr>
        <w:br/>
        <w:t xml:space="preserve">государственно-правовым управлением аппарата Губернатора и Правительства Оренбургской области (далее – ГПУ) проведена антикоррупционная экспертиза 2080 проектов нормативно-правовых актов (далее – НПА), в которых выявлено 100 коррупциогенных факторов. 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Дополнительно а</w:t>
      </w:r>
      <w:r>
        <w:rPr>
          <w:rFonts w:eastAsia="Calibri"/>
          <w:color w:val="000000" w:themeColor="text1"/>
          <w:szCs w:val="28"/>
        </w:rPr>
        <w:t>нтикоррупционная экспертиза нормативных правовых актов, разрабатываемых органами местного самоуправления, осуществляется прокуратурой Оренбургской области, на основании заключенных соглашений.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Структура выявленных ГПУ коррупциогенных факторов выглядит следующим образом: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широта дискреционных полномочий – отсутствие или неопределенность сроков, условий или оснований принятия решения, наличие дублирующих полномочий государственного органа (их должностных лиц) – 15 %;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отсутствие или неполнота административных процедур - отсутствие порядка совершения государственными органами (их должностными лицами) определенных действий либо одного из элементов такого порядка – 16 %;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нормативные коллизии – противоречия, в том числе внутренние, между нормами, создающие для государственных органов (их должностных лиц) возможность произвольного выбора норм, подлежащих применению                                    в конкретном случае – 16 %;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принятие нормативного правового акта за пределами компетенции – нарушение компетенции государственных органов (их должностных лиц) при принятии нормативных правовых актов – 8 %;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коррупциогенные факторы, содержащие неопределенные, трудновыполнимые и (или) обременительные требования к гражданам                                и организациям – 25 %;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выборочное изменение объема прав – </w:t>
      </w:r>
      <w:r>
        <w:rPr>
          <w:color w:val="000000" w:themeColor="text1"/>
          <w:shd w:val="clear" w:color="auto" w:fill="FFFFFF"/>
        </w:rPr>
        <w:t>возможность необоснованного установления исключений из общего порядка для граждан и организаций                         по усмотрению государственных органов, органов местного самоуправления         или организаций (их должностных лиц)</w:t>
      </w:r>
      <w:r>
        <w:rPr>
          <w:color w:val="000000" w:themeColor="text1"/>
        </w:rPr>
        <w:t xml:space="preserve"> – 11 %;</w:t>
      </w:r>
    </w:p>
    <w:p w:rsidR="00830E1F" w:rsidRDefault="00F2294E">
      <w:pPr>
        <w:spacing w:after="0"/>
        <w:ind w:firstLine="709"/>
        <w:jc w:val="both"/>
        <w:rPr>
          <w:color w:val="000000" w:themeColor="text1"/>
          <w:szCs w:val="28"/>
        </w:rPr>
      </w:pPr>
      <w:r>
        <w:rPr>
          <w:rFonts w:eastAsia="Arial"/>
          <w:color w:val="000000" w:themeColor="text1"/>
          <w:szCs w:val="28"/>
        </w:rPr>
        <w:t>ч</w:t>
      </w:r>
      <w:r>
        <w:rPr>
          <w:rFonts w:eastAsia="Arial"/>
          <w:color w:val="000000" w:themeColor="text1"/>
          <w:szCs w:val="28"/>
          <w:highlight w:val="white"/>
        </w:rPr>
        <w:t>резмерная свобода подзаконного нормотворчества</w:t>
      </w:r>
      <w:r>
        <w:rPr>
          <w:color w:val="000000" w:themeColor="text1"/>
        </w:rPr>
        <w:t xml:space="preserve"> –</w:t>
      </w:r>
      <w:r>
        <w:rPr>
          <w:rFonts w:eastAsia="Arial"/>
          <w:color w:val="000000" w:themeColor="text1"/>
          <w:szCs w:val="28"/>
        </w:rPr>
        <w:t xml:space="preserve"> </w:t>
      </w:r>
      <w:r>
        <w:rPr>
          <w:rFonts w:eastAsia="Arial"/>
          <w:color w:val="000000" w:themeColor="text1"/>
          <w:szCs w:val="28"/>
          <w:highlight w:val="white"/>
        </w:rPr>
        <w:t>наличие бланкетных и отсылочных норм, приводящее к принятию подзаконных актов, вторгающихся в компетенцию государственного органа, органа местного самоуправления или организации, принявшего первоначальный нормативный правовой акт</w:t>
      </w:r>
      <w:r>
        <w:rPr>
          <w:rFonts w:eastAsia="Arial"/>
          <w:color w:val="000000" w:themeColor="text1"/>
          <w:szCs w:val="28"/>
        </w:rPr>
        <w:t xml:space="preserve"> </w:t>
      </w:r>
      <w:r>
        <w:rPr>
          <w:color w:val="000000" w:themeColor="text1"/>
        </w:rPr>
        <w:t>– 3 %;</w:t>
      </w:r>
    </w:p>
    <w:p w:rsidR="00830E1F" w:rsidRDefault="00F2294E">
      <w:pPr>
        <w:spacing w:after="0"/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отказ от конкурсных (аукционных) процедур</w:t>
      </w:r>
      <w:r>
        <w:rPr>
          <w:color w:val="000000" w:themeColor="text1"/>
        </w:rPr>
        <w:t xml:space="preserve"> – закрепление административного порядка предоставления права (блага) – 1 %;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определение компетенции по формуле «вправе» – диспозитивное установление возможности совершения органами государственной власти или органами местного самоуправления (их должностными лицами) действий                 в отношении граждан и организаций – 5 %.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rFonts w:eastAsia="Calibri"/>
          <w:color w:val="000000" w:themeColor="text1"/>
          <w:szCs w:val="28"/>
        </w:rPr>
        <w:t>Исполнительными органами проведена антикоррупционная                         экспертиза 4980 проектов ведомственных нормативных актов. Выявлено                          105 коррупциогенных факторов, которые устранены.</w:t>
      </w:r>
      <w:r>
        <w:rPr>
          <w:color w:val="00B0F0"/>
        </w:rPr>
        <w:t xml:space="preserve"> </w:t>
      </w:r>
      <w:r>
        <w:rPr>
          <w:color w:val="000000" w:themeColor="text1"/>
        </w:rPr>
        <w:t xml:space="preserve">Проведена антикоррупционная экспертиза 1316 действующих НПА, установлено 3 коррупциогенных факторов, </w:t>
      </w:r>
      <w:r>
        <w:rPr>
          <w:rFonts w:eastAsia="Calibri"/>
          <w:color w:val="000000" w:themeColor="text1"/>
          <w:szCs w:val="28"/>
        </w:rPr>
        <w:t>которые устранены</w:t>
      </w:r>
      <w:r>
        <w:rPr>
          <w:color w:val="000000" w:themeColor="text1"/>
        </w:rPr>
        <w:t>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rFonts w:eastAsia="Calibri"/>
          <w:color w:val="000000" w:themeColor="text1"/>
          <w:szCs w:val="28"/>
        </w:rPr>
        <w:t xml:space="preserve">В органах местного самоуправления антикоррупционная экспертиза                  проведена в отношении 10938 проектов нормативных правовых актов, выявлено 177 коррупциогенных факторов, которые также устранены на стадии доработки проектов. Также </w:t>
      </w:r>
      <w:r>
        <w:rPr>
          <w:color w:val="000000" w:themeColor="text1"/>
        </w:rPr>
        <w:t xml:space="preserve">проведена антикоррупционная экспертиза 1769 действующих НПА, выявлено 56 коррупциогенных факторов, </w:t>
      </w:r>
      <w:r>
        <w:rPr>
          <w:rFonts w:eastAsia="Calibri"/>
          <w:color w:val="000000" w:themeColor="text1"/>
          <w:szCs w:val="28"/>
        </w:rPr>
        <w:t>которые устранены</w:t>
      </w:r>
      <w:r>
        <w:rPr>
          <w:color w:val="000000" w:themeColor="text1"/>
        </w:rPr>
        <w:t>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1715770</wp:posOffset>
                </wp:positionV>
                <wp:extent cx="5552440" cy="3703955"/>
                <wp:effectExtent l="342900" t="57150" r="48260" b="296545"/>
                <wp:wrapTopAndBottom/>
                <wp:docPr id="4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552440" cy="3703955"/>
                          <a:chOff x="-23646" y="-174064"/>
                          <a:chExt cx="5417971" cy="3704365"/>
                        </a:xfrm>
                      </wpg:grpSpPr>
                      <wps:wsp>
                        <wps:cNvPr id="5" name="Прямоугольник 5"/>
                        <wps:cNvSpPr/>
                        <wps:spPr bwMode="auto">
                          <a:xfrm>
                            <a:off x="0" y="-174064"/>
                            <a:ext cx="5394325" cy="70558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30E1F" w:rsidRDefault="00F2294E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szCs w:val="28"/>
                                </w:rPr>
                                <w:t xml:space="preserve">Антикоррупционная экспертиза проектов </w:t>
                              </w:r>
                            </w:p>
                            <w:p w:rsidR="00830E1F" w:rsidRDefault="00F2294E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szCs w:val="28"/>
                                </w:rPr>
                                <w:t xml:space="preserve">нормативных правовых актов </w:t>
                              </w:r>
                            </w:p>
                            <w:p w:rsidR="00830E1F" w:rsidRDefault="00F2294E">
                              <w:pPr>
                                <w:spacing w:after="0" w:line="240" w:lineRule="auto"/>
                                <w:jc w:val="center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Оренбургской области в 2025 году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" name="Группа 6"/>
                        <wpg:cNvGrpSpPr/>
                        <wpg:grpSpPr bwMode="auto">
                          <a:xfrm>
                            <a:off x="-23646" y="556076"/>
                            <a:ext cx="5417971" cy="2974226"/>
                            <a:chOff x="-23646" y="-5899"/>
                            <a:chExt cx="5417971" cy="2974226"/>
                          </a:xfrm>
                        </wpg:grpSpPr>
                        <wps:wsp>
                          <wps:cNvPr id="7" name="Прямоугольник 7"/>
                          <wps:cNvSpPr/>
                          <wps:spPr bwMode="auto">
                            <a:xfrm>
                              <a:off x="372055" y="2343673"/>
                              <a:ext cx="1384935" cy="594372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ffectLst>
                              <a:outerShdw blurRad="149987" dist="250190" dir="8460000" algn="ctr">
                                <a:srgbClr val="000000">
                                  <a:alpha val="28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30E1F" w:rsidRDefault="00F2294E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  <w:szCs w:val="28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Cs w:val="28"/>
                                  </w:rPr>
                                  <w:t>105</w:t>
                                </w:r>
                              </w:p>
                              <w:p w:rsidR="00830E1F" w:rsidRDefault="00F2294E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  <w:szCs w:val="28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Cs w:val="28"/>
                                  </w:rPr>
                                  <w:t>кор.факторов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Прямоугольник 8"/>
                          <wps:cNvSpPr/>
                          <wps:spPr bwMode="auto">
                            <a:xfrm>
                              <a:off x="331035" y="1339062"/>
                              <a:ext cx="1576361" cy="606343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ffectLst>
                              <a:outerShdw blurRad="149987" dist="250190" dir="8460000" algn="ctr">
                                <a:srgbClr val="000000">
                                  <a:alpha val="28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30E1F" w:rsidRDefault="00F2294E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  <w:szCs w:val="28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Cs w:val="28"/>
                                  </w:rPr>
                                  <w:t>4980</w:t>
                                </w:r>
                              </w:p>
                              <w:p w:rsidR="00830E1F" w:rsidRDefault="00F2294E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  <w:szCs w:val="28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Cs w:val="28"/>
                                  </w:rPr>
                                  <w:t>проектов НПА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Прямоугольник 9"/>
                          <wps:cNvSpPr/>
                          <wps:spPr bwMode="auto">
                            <a:xfrm>
                              <a:off x="-23646" y="292124"/>
                              <a:ext cx="2393950" cy="669925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ffectLst>
                              <a:outerShdw blurRad="149987" dist="250190" dir="8460000" algn="ctr">
                                <a:srgbClr val="000000">
                                  <a:alpha val="28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30E1F" w:rsidRDefault="00F2294E">
                                <w:pPr>
                                  <w:spacing w:line="240" w:lineRule="auto"/>
                                  <w:jc w:val="center"/>
                                  <w:rPr>
                                    <w:szCs w:val="28"/>
                                  </w:rPr>
                                </w:pPr>
                                <w:r>
                                  <w:rPr>
                                    <w:szCs w:val="28"/>
                                  </w:rPr>
                                  <w:t>Исполнительными органами</w:t>
                                </w:r>
                              </w:p>
                              <w:p w:rsidR="00830E1F" w:rsidRDefault="00830E1F">
                                <w:pPr>
                                  <w:jc w:val="center"/>
                                </w:pPr>
                              </w:p>
                              <w:p w:rsidR="00830E1F" w:rsidRDefault="00830E1F">
                                <w:pPr>
                                  <w:jc w:val="center"/>
                                  <w:rPr>
                                    <w:color w:val="E36C0A" w:themeColor="accent6" w:themeShade="BF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Прямоугольник 10"/>
                          <wps:cNvSpPr/>
                          <wps:spPr bwMode="auto">
                            <a:xfrm>
                              <a:off x="3531047" y="1376882"/>
                              <a:ext cx="1442370" cy="606965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ffectLst>
                              <a:outerShdw blurRad="149987" dist="250190" dir="8460000" algn="ctr">
                                <a:srgbClr val="000000">
                                  <a:alpha val="28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30E1F" w:rsidRDefault="00F2294E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  <w:szCs w:val="28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Cs w:val="28"/>
                                  </w:rPr>
                                  <w:t>10938</w:t>
                                </w:r>
                              </w:p>
                              <w:p w:rsidR="00830E1F" w:rsidRDefault="00F2294E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  <w:szCs w:val="28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Cs w:val="28"/>
                                  </w:rPr>
                                  <w:t>проектов НПА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Прямоугольник 11"/>
                          <wps:cNvSpPr/>
                          <wps:spPr bwMode="auto">
                            <a:xfrm>
                              <a:off x="2990850" y="311332"/>
                              <a:ext cx="2403475" cy="669925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ffectLst>
                              <a:outerShdw blurRad="149987" dist="250190" dir="8460000" algn="ctr">
                                <a:srgbClr val="000000">
                                  <a:alpha val="28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30E1F" w:rsidRDefault="00F2294E">
                                <w:pPr>
                                  <w:spacing w:line="240" w:lineRule="auto"/>
                                  <w:jc w:val="center"/>
                                  <w:rPr>
                                    <w:szCs w:val="28"/>
                                  </w:rPr>
                                </w:pPr>
                                <w:r>
                                  <w:rPr>
                                    <w:szCs w:val="28"/>
                                  </w:rPr>
                                  <w:t>Органами местного самоуправления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Прямоугольник 12"/>
                          <wps:cNvSpPr/>
                          <wps:spPr bwMode="auto">
                            <a:xfrm>
                              <a:off x="3562082" y="2369422"/>
                              <a:ext cx="1371600" cy="59890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ffectLst>
                              <a:outerShdw blurRad="149987" dist="250190" dir="8460000" algn="ctr">
                                <a:srgbClr val="000000">
                                  <a:alpha val="28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30E1F" w:rsidRDefault="00F2294E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  <w:szCs w:val="28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Cs w:val="28"/>
                                  </w:rPr>
                                  <w:t>177</w:t>
                                </w:r>
                              </w:p>
                              <w:p w:rsidR="00830E1F" w:rsidRDefault="00F2294E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  <w:szCs w:val="28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Cs w:val="28"/>
                                  </w:rPr>
                                  <w:t>кор.факторов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Прямая со стрелкой 13"/>
                          <wps:cNvCnPr/>
                          <wps:spPr bwMode="auto">
                            <a:xfrm>
                              <a:off x="1123950" y="-5899"/>
                              <a:ext cx="0" cy="298023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" name="Прямая со стрелкой 14"/>
                          <wps:cNvCnPr/>
                          <wps:spPr bwMode="auto">
                            <a:xfrm flipH="1">
                              <a:off x="1084541" y="971648"/>
                              <a:ext cx="11030" cy="34615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Прямая со стрелкой 15"/>
                          <wps:cNvCnPr/>
                          <wps:spPr bwMode="auto">
                            <a:xfrm>
                              <a:off x="4226147" y="998308"/>
                              <a:ext cx="0" cy="369575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group id="group 3" o:spid="_x0000_s0000" style="position:absolute;z-index:251658240;o:allowoverlap:true;o:allowincell:true;mso-position-horizontal-relative:text;margin-left:19.50pt;mso-position-horizontal:absolute;mso-position-vertical-relative:text;margin-top:135.10pt;mso-position-vertical:absolute;width:437.20pt;height:291.65pt;mso-wrap-distance-left:9.00pt;mso-wrap-distance-top:0.00pt;mso-wrap-distance-right:9.00pt;mso-wrap-distance-bottom:0.00pt;" coordorigin="-236,-1740" coordsize="54179,37043">
                <v:shape id="shape 4" o:spid="_x0000_s4" o:spt="1" type="#_x0000_t1" style="position:absolute;left:0;top:-1740;width:53943;height:7055;v-text-anchor:middle;visibility:visible;" fillcolor="#D89290" stroked="f" strokeweight="2.00pt">
                  <v:stroke dashstyle="solid"/>
                  <w10:wrap type="topAndBottom"/>
                  <v:textbox inset="0,0,0,0">
                    <w:txbxContent>
                      <w:p>
                        <w:pPr>
                          <w:jc w:val="center"/>
                          <w:spacing w:after="0" w:line="240" w:lineRule="auto"/>
                        </w:pPr>
                        <w:r>
                          <w:rPr>
                            <w:szCs w:val="28"/>
                          </w:rPr>
                          <w:t xml:space="preserve">Антикоррупционная экспертиза проектов </w:t>
                        </w:r>
                        <w:r>
                          <w:rPr>
                            <w:szCs w:val="28"/>
                          </w:rPr>
                        </w:r>
                        <w:r/>
                      </w:p>
                      <w:p>
                        <w:pPr>
                          <w:jc w:val="center"/>
                          <w:spacing w:after="0" w:line="240" w:lineRule="auto"/>
                        </w:pPr>
                        <w:r>
                          <w:rPr>
                            <w:szCs w:val="28"/>
                          </w:rPr>
                          <w:t xml:space="preserve">нормативных правовых актов </w:t>
                        </w:r>
                        <w:r/>
                      </w:p>
                      <w:p>
                        <w:pPr>
                          <w:jc w:val="center"/>
                          <w:spacing w:after="0" w:line="240" w:lineRule="auto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 xml:space="preserve">Оренбургской области в 2025</w:t>
                        </w:r>
                        <w:r>
                          <w:rPr>
                            <w:szCs w:val="28"/>
                          </w:rPr>
                          <w:t xml:space="preserve"> году</w:t>
                        </w:r>
                        <w:r>
                          <w:rPr>
                            <w:szCs w:val="28"/>
                          </w:rPr>
                        </w:r>
                        <w:r>
                          <w:rPr>
                            <w:szCs w:val="28"/>
                          </w:rPr>
                        </w:r>
                      </w:p>
                    </w:txbxContent>
                  </v:textbox>
                </v:shape>
                <v:group id="group 5" o:spid="_x0000_s0000" style="position:absolute;left:-236;top:5560;width:54179;height:29742;" coordorigin="-236,-58" coordsize="54179,29742">
                  <v:shape id="shape 6" o:spid="_x0000_s6" o:spt="1" type="#_x0000_t1" style="position:absolute;left:3720;top:23436;width:13849;height:5943;v-text-anchor:middle;visibility:visible;" fillcolor="#FF0000" stroked="f" strokeweight="2.00pt">
                    <v:stroke dashstyle="solid"/>
                    <v:textbox inset="0,0,0,0">
                      <w:txbxContent>
                        <w:p>
                          <w:pPr>
                            <w:jc w:val="center"/>
                            <w:spacing w:after="0" w:line="240" w:lineRule="auto"/>
                            <w:rPr>
                              <w:color w:val="000000" w:themeColor="text1"/>
                              <w:szCs w:val="28"/>
                            </w:rPr>
                          </w:pPr>
                          <w:r>
                            <w:rPr>
                              <w:color w:val="000000" w:themeColor="text1"/>
                              <w:szCs w:val="28"/>
                            </w:rPr>
                            <w:t xml:space="preserve">105</w:t>
                          </w:r>
                          <w:r>
                            <w:rPr>
                              <w:color w:val="000000" w:themeColor="text1"/>
                              <w:szCs w:val="28"/>
                            </w:rPr>
                          </w:r>
                          <w:r>
                            <w:rPr>
                              <w:color w:val="000000" w:themeColor="text1"/>
                              <w:szCs w:val="28"/>
                            </w:rPr>
                          </w:r>
                        </w:p>
                        <w:p>
                          <w:pPr>
                            <w:jc w:val="center"/>
                            <w:spacing w:after="0" w:line="240" w:lineRule="auto"/>
                            <w:rPr>
                              <w:color w:val="000000" w:themeColor="text1"/>
                              <w:szCs w:val="28"/>
                            </w:rPr>
                          </w:pPr>
                          <w:r>
                            <w:rPr>
                              <w:color w:val="000000" w:themeColor="text1"/>
                              <w:szCs w:val="28"/>
                            </w:rPr>
                            <w:t xml:space="preserve">кор.факторов</w:t>
                          </w:r>
                          <w:r>
                            <w:rPr>
                              <w:color w:val="000000" w:themeColor="text1"/>
                              <w:szCs w:val="28"/>
                            </w:rPr>
                          </w:r>
                          <w:r>
                            <w:rPr>
                              <w:color w:val="000000" w:themeColor="text1"/>
                              <w:szCs w:val="28"/>
                            </w:rPr>
                          </w:r>
                        </w:p>
                      </w:txbxContent>
                    </v:textbox>
                  </v:shape>
                  <v:shape id="shape 7" o:spid="_x0000_s7" o:spt="1" type="#_x0000_t1" style="position:absolute;left:3310;top:13390;width:15763;height:6063;v-text-anchor:middle;visibility:visible;" fillcolor="#00B050" stroked="f" strokeweight="2.00pt">
                    <v:stroke dashstyle="solid"/>
                    <v:textbox inset="0,0,0,0">
                      <w:txbxContent>
                        <w:p>
                          <w:pPr>
                            <w:jc w:val="center"/>
                            <w:spacing w:after="0" w:line="240" w:lineRule="auto"/>
                            <w:rPr>
                              <w:color w:val="000000" w:themeColor="text1"/>
                              <w:szCs w:val="28"/>
                            </w:rPr>
                          </w:pPr>
                          <w:r>
                            <w:rPr>
                              <w:color w:val="000000" w:themeColor="text1"/>
                              <w:szCs w:val="28"/>
                            </w:rPr>
                            <w:t xml:space="preserve">4980</w:t>
                          </w:r>
                          <w:r>
                            <w:rPr>
                              <w:color w:val="000000" w:themeColor="text1"/>
                              <w:szCs w:val="28"/>
                            </w:rPr>
                          </w:r>
                          <w:r>
                            <w:rPr>
                              <w:color w:val="000000" w:themeColor="text1"/>
                              <w:szCs w:val="28"/>
                            </w:rPr>
                          </w:r>
                        </w:p>
                        <w:p>
                          <w:pPr>
                            <w:jc w:val="center"/>
                            <w:spacing w:after="0" w:line="240" w:lineRule="auto"/>
                            <w:rPr>
                              <w:color w:val="000000" w:themeColor="text1"/>
                              <w:szCs w:val="28"/>
                            </w:rPr>
                          </w:pPr>
                          <w:r>
                            <w:rPr>
                              <w:color w:val="000000" w:themeColor="text1"/>
                              <w:szCs w:val="28"/>
                            </w:rPr>
                            <w:t xml:space="preserve">проект</w:t>
                          </w:r>
                          <w:r>
                            <w:rPr>
                              <w:color w:val="000000" w:themeColor="text1"/>
                              <w:szCs w:val="28"/>
                            </w:rPr>
                            <w:t xml:space="preserve">ов</w:t>
                          </w:r>
                          <w:r>
                            <w:rPr>
                              <w:color w:val="000000" w:themeColor="text1"/>
                              <w:szCs w:val="28"/>
                            </w:rPr>
                            <w:t xml:space="preserve"> НПА</w:t>
                          </w:r>
                          <w:r>
                            <w:rPr>
                              <w:color w:val="000000" w:themeColor="text1"/>
                              <w:szCs w:val="28"/>
                            </w:rPr>
                          </w:r>
                          <w:r>
                            <w:rPr>
                              <w:color w:val="000000" w:themeColor="text1"/>
                              <w:szCs w:val="28"/>
                            </w:rPr>
                          </w:r>
                        </w:p>
                      </w:txbxContent>
                    </v:textbox>
                  </v:shape>
                  <v:shape id="shape 8" o:spid="_x0000_s8" o:spt="1" type="#_x0000_t1" style="position:absolute;left:-236;top:2921;width:23939;height:6699;v-text-anchor:middle;visibility:visible;" fillcolor="#00B0F0" stroked="f" strokeweight="2.00pt">
                    <v:stroke dashstyle="solid"/>
                    <v:textbox inset="0,0,0,0">
                      <w:txbxContent>
                        <w:p>
                          <w:pPr>
                            <w:jc w:val="center"/>
                            <w:spacing w:line="240" w:lineRule="auto"/>
                            <w:rPr>
                              <w:szCs w:val="28"/>
                            </w:rPr>
                          </w:pPr>
                          <w:r>
                            <w:rPr>
                              <w:szCs w:val="28"/>
                            </w:rPr>
                            <w:t xml:space="preserve">Исполнительными органами</w:t>
                          </w:r>
                          <w:r>
                            <w:rPr>
                              <w:szCs w:val="28"/>
                            </w:rPr>
                          </w:r>
                          <w:r>
                            <w:rPr>
                              <w:szCs w:val="28"/>
                            </w:rPr>
                          </w:r>
                        </w:p>
                        <w:p>
                          <w:pPr>
                            <w:jc w:val="center"/>
                          </w:pPr>
                          <w:r/>
                          <w:r/>
                        </w:p>
                        <w:p>
                          <w:pPr>
                            <w:jc w:val="center"/>
                            <w:rPr>
                              <w:color w:val="e36c0a" w:themeColor="accent6" w:themeShade="BF"/>
                            </w:rPr>
                          </w:pPr>
                          <w:r>
                            <w:rPr>
                              <w:color w:val="e36c0a" w:themeColor="accent6" w:themeShade="BF"/>
                            </w:rPr>
                          </w:r>
                          <w:r>
                            <w:rPr>
                              <w:color w:val="e36c0a" w:themeColor="accent6" w:themeShade="BF"/>
                            </w:rPr>
                          </w:r>
                          <w:r>
                            <w:rPr>
                              <w:color w:val="e36c0a" w:themeColor="accent6" w:themeShade="BF"/>
                            </w:rPr>
                          </w:r>
                        </w:p>
                      </w:txbxContent>
                    </v:textbox>
                  </v:shape>
                  <v:shape id="shape 9" o:spid="_x0000_s9" o:spt="1" type="#_x0000_t1" style="position:absolute;left:35310;top:13768;width:14423;height:6069;v-text-anchor:middle;visibility:visible;" fillcolor="#00B050" stroked="f" strokeweight="2.00pt">
                    <v:stroke dashstyle="solid"/>
                    <v:textbox inset="0,0,0,0">
                      <w:txbxContent>
                        <w:p>
                          <w:pPr>
                            <w:jc w:val="center"/>
                            <w:spacing w:after="0" w:line="240" w:lineRule="auto"/>
                            <w:rPr>
                              <w:color w:val="000000" w:themeColor="text1"/>
                              <w:szCs w:val="28"/>
                            </w:rPr>
                          </w:pPr>
                          <w:r>
                            <w:rPr>
                              <w:color w:val="000000" w:themeColor="text1"/>
                              <w:szCs w:val="28"/>
                            </w:rPr>
                            <w:t xml:space="preserve">10938</w:t>
                          </w:r>
                          <w:r>
                            <w:rPr>
                              <w:color w:val="000000" w:themeColor="text1"/>
                              <w:szCs w:val="28"/>
                            </w:rPr>
                          </w:r>
                          <w:r>
                            <w:rPr>
                              <w:color w:val="000000" w:themeColor="text1"/>
                              <w:szCs w:val="28"/>
                            </w:rPr>
                          </w:r>
                        </w:p>
                        <w:p>
                          <w:pPr>
                            <w:jc w:val="center"/>
                            <w:spacing w:after="0" w:line="240" w:lineRule="auto"/>
                            <w:rPr>
                              <w:color w:val="000000" w:themeColor="text1"/>
                              <w:szCs w:val="28"/>
                            </w:rPr>
                          </w:pPr>
                          <w:r>
                            <w:rPr>
                              <w:color w:val="000000" w:themeColor="text1"/>
                              <w:szCs w:val="28"/>
                            </w:rPr>
                            <w:t xml:space="preserve">проектов НПА</w:t>
                          </w:r>
                          <w:r>
                            <w:rPr>
                              <w:color w:val="000000" w:themeColor="text1"/>
                              <w:szCs w:val="28"/>
                            </w:rPr>
                          </w:r>
                          <w:r>
                            <w:rPr>
                              <w:color w:val="000000" w:themeColor="text1"/>
                              <w:szCs w:val="28"/>
                            </w:rPr>
                          </w:r>
                        </w:p>
                      </w:txbxContent>
                    </v:textbox>
                  </v:shape>
                  <v:shape id="shape 10" o:spid="_x0000_s10" o:spt="1" type="#_x0000_t1" style="position:absolute;left:29908;top:3113;width:24034;height:6699;v-text-anchor:middle;visibility:visible;" fillcolor="#00B0F0" stroked="f" strokeweight="2.00pt">
                    <v:stroke dashstyle="solid"/>
                    <v:textbox inset="0,0,0,0">
                      <w:txbxContent>
                        <w:p>
                          <w:pPr>
                            <w:jc w:val="center"/>
                            <w:spacing w:line="240" w:lineRule="auto"/>
                            <w:rPr>
                              <w:szCs w:val="28"/>
                            </w:rPr>
                          </w:pPr>
                          <w:r>
                            <w:rPr>
                              <w:szCs w:val="28"/>
                            </w:rPr>
                            <w:t xml:space="preserve">Органами местного самоуправления</w:t>
                          </w:r>
                          <w:r>
                            <w:rPr>
                              <w:szCs w:val="28"/>
                            </w:rPr>
                          </w:r>
                          <w:r>
                            <w:rPr>
                              <w:szCs w:val="28"/>
                            </w:rPr>
                          </w:r>
                        </w:p>
                      </w:txbxContent>
                    </v:textbox>
                  </v:shape>
                  <v:shape id="shape 11" o:spid="_x0000_s11" o:spt="1" type="#_x0000_t1" style="position:absolute;left:35620;top:23694;width:13716;height:5989;v-text-anchor:middle;visibility:visible;" fillcolor="#FF0000" stroked="f" strokeweight="2.00pt">
                    <v:stroke dashstyle="solid"/>
                    <v:textbox inset="0,0,0,0">
                      <w:txbxContent>
                        <w:p>
                          <w:pPr>
                            <w:jc w:val="center"/>
                            <w:spacing w:after="0" w:line="240" w:lineRule="auto"/>
                            <w:rPr>
                              <w:color w:val="000000" w:themeColor="text1"/>
                              <w:szCs w:val="28"/>
                            </w:rPr>
                          </w:pPr>
                          <w:r>
                            <w:rPr>
                              <w:color w:val="000000" w:themeColor="text1"/>
                              <w:szCs w:val="28"/>
                            </w:rPr>
                            <w:t xml:space="preserve">177</w:t>
                          </w:r>
                          <w:r>
                            <w:rPr>
                              <w:color w:val="000000" w:themeColor="text1"/>
                              <w:szCs w:val="28"/>
                            </w:rPr>
                          </w:r>
                          <w:r>
                            <w:rPr>
                              <w:color w:val="000000" w:themeColor="text1"/>
                              <w:szCs w:val="28"/>
                            </w:rPr>
                          </w:r>
                        </w:p>
                        <w:p>
                          <w:pPr>
                            <w:jc w:val="center"/>
                            <w:spacing w:after="0" w:line="240" w:lineRule="auto"/>
                            <w:rPr>
                              <w:color w:val="000000" w:themeColor="text1"/>
                              <w:szCs w:val="28"/>
                            </w:rPr>
                          </w:pPr>
                          <w:r>
                            <w:rPr>
                              <w:color w:val="000000" w:themeColor="text1"/>
                              <w:szCs w:val="28"/>
                            </w:rPr>
                            <w:t xml:space="preserve">кор</w:t>
                          </w:r>
                          <w:r>
                            <w:rPr>
                              <w:color w:val="000000" w:themeColor="text1"/>
                              <w:szCs w:val="28"/>
                            </w:rPr>
                            <w:t xml:space="preserve">.факторов</w:t>
                          </w:r>
                          <w:r>
                            <w:rPr>
                              <w:color w:val="000000" w:themeColor="text1"/>
                              <w:szCs w:val="28"/>
                            </w:rPr>
                          </w:r>
                          <w:r>
                            <w:rPr>
                              <w:color w:val="000000" w:themeColor="text1"/>
                              <w:szCs w:val="28"/>
                            </w:rPr>
                          </w:r>
                        </w:p>
                      </w:txbxContent>
                    </v:textbox>
                  </v:shape>
                  <v:shape id="shape 12" o:spid="_x0000_s12" o:spt="32" type="#_x0000_t32" style="position:absolute;left:11239;top:-58;width:0;height:2980;visibility:visible;" filled="f" strokecolor="#000000" strokeweight="2.00pt">
                    <v:stroke dashstyle="solid"/>
                  </v:shape>
                  <v:shape id="shape 13" o:spid="_x0000_s13" o:spt="32" type="#_x0000_t32" style="position:absolute;left:10845;top:9716;width:110;height:3461;flip:x;visibility:visible;" filled="f" strokecolor="#000000" strokeweight="2.00pt">
                    <v:stroke dashstyle="solid"/>
                  </v:shape>
                  <v:shape id="shape 14" o:spid="_x0000_s14" o:spt="32" type="#_x0000_t32" style="position:absolute;left:42261;top:9983;width:0;height:3695;visibility:visible;" filled="f" strokecolor="#000000" strokeweight="2.00pt">
                    <v:stroke dashstyle="solid"/>
                  </v:shape>
                </v:group>
              </v:group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4604217</wp:posOffset>
                </wp:positionH>
                <wp:positionV relativeFrom="paragraph">
                  <wp:posOffset>4421475</wp:posOffset>
                </wp:positionV>
                <wp:extent cx="0" cy="369633"/>
                <wp:effectExtent l="0" t="0" r="0" b="0"/>
                <wp:wrapNone/>
                <wp:docPr id="5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69633"/>
                        </a:xfrm>
                        <a:prstGeom prst="straightConnector1">
                          <a:avLst/>
                        </a:prstGeom>
                        <a:ln>
                          <a:round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5" o:spid="_x0000_s15" o:spt="32" type="#_x0000_t32" style="position:absolute;z-index:251670528;o:allowoverlap:true;o:allowincell:true;mso-position-horizontal-relative:text;margin-left:362.54pt;mso-position-horizontal:absolute;mso-position-vertical-relative:text;margin-top:348.15pt;mso-position-vertical:absolute;width:0.00pt;height:29.10pt;mso-wrap-distance-left:9.00pt;mso-wrap-distance-top:0.00pt;mso-wrap-distance-right:9.00pt;mso-wrap-distance-bottom:0.00pt;visibility:visible;" filled="f" strokecolor="#000000" strokeweight="2.00pt">
                <v:stroke dashstyle="solid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1360832</wp:posOffset>
                </wp:positionH>
                <wp:positionV relativeFrom="paragraph">
                  <wp:posOffset>4389383</wp:posOffset>
                </wp:positionV>
                <wp:extent cx="0" cy="369633"/>
                <wp:effectExtent l="0" t="0" r="0" b="0"/>
                <wp:wrapNone/>
                <wp:docPr id="6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6963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6" o:spid="_x0000_s16" o:spt="32" type="#_x0000_t32" style="position:absolute;z-index:251668480;o:allowoverlap:true;o:allowincell:true;mso-position-horizontal-relative:text;margin-left:107.15pt;mso-position-horizontal:absolute;mso-position-vertical-relative:text;margin-top:345.62pt;mso-position-vertical:absolute;width:0.00pt;height:29.10pt;mso-wrap-distance-left:9.00pt;mso-wrap-distance-top:0.00pt;mso-wrap-distance-right:9.00pt;mso-wrap-distance-bottom:0.00pt;visibility:visible;" filled="f" strokecolor="#000000" strokeweight="2.00pt">
                <v:stroke dashstyle="solid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4572662</wp:posOffset>
                </wp:positionH>
                <wp:positionV relativeFrom="paragraph">
                  <wp:posOffset>2423160</wp:posOffset>
                </wp:positionV>
                <wp:extent cx="0" cy="298070"/>
                <wp:effectExtent l="0" t="0" r="0" b="0"/>
                <wp:wrapNone/>
                <wp:docPr id="7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980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7" o:spid="_x0000_s17" o:spt="32" type="#_x0000_t32" style="position:absolute;z-index:251666432;o:allowoverlap:true;o:allowincell:true;mso-position-horizontal-relative:text;margin-left:360.05pt;mso-position-horizontal:absolute;mso-position-vertical-relative:text;margin-top:190.80pt;mso-position-vertical:absolute;width:0.00pt;height:23.47pt;mso-wrap-distance-left:9.00pt;mso-wrap-distance-top:0.00pt;mso-wrap-distance-right:9.00pt;mso-wrap-distance-bottom:0.00pt;visibility:visible;" filled="f" strokecolor="#000000" strokeweight="2.00pt">
                <v:stroke dashstyle="solid"/>
              </v:shape>
            </w:pict>
          </mc:Fallback>
        </mc:AlternateContent>
      </w:r>
      <w:r>
        <w:rPr>
          <w:color w:val="000000" w:themeColor="text1"/>
        </w:rPr>
        <w:t>Как показывает практика, основными коррупциогенными факторами, выявляемыми антикоррупционными экспертизами, являются отсутствие                    или неполнота административных процедур, нормативные коллизии, широта дискреционных полномочий, содержащие неопределенные, трудновыполнимые и (или) обременительные требования к гражданам и организациям.</w:t>
      </w:r>
    </w:p>
    <w:p w:rsidR="00830E1F" w:rsidRDefault="00F2294E">
      <w:pPr>
        <w:spacing w:after="0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048286" cy="4590215"/>
            <wp:effectExtent l="4762" t="4762" r="4762" b="4762"/>
            <wp:docPr id="8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30E1F" w:rsidRDefault="00830E1F">
      <w:pPr>
        <w:spacing w:after="0"/>
        <w:jc w:val="center"/>
        <w:rPr>
          <w:b/>
          <w:bCs/>
          <w:color w:val="000000" w:themeColor="text1"/>
          <w:sz w:val="24"/>
          <w:szCs w:val="24"/>
        </w:rPr>
      </w:pPr>
    </w:p>
    <w:p w:rsidR="00830E1F" w:rsidRDefault="00F2294E">
      <w:pPr>
        <w:spacing w:after="0"/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Сведения о результатах проведения антикоррупционных экспертиз</w:t>
      </w:r>
    </w:p>
    <w:p w:rsidR="00830E1F" w:rsidRDefault="00830E1F">
      <w:pPr>
        <w:spacing w:after="0"/>
        <w:ind w:firstLine="709"/>
        <w:jc w:val="both"/>
        <w:rPr>
          <w:color w:val="000000" w:themeColor="text1"/>
        </w:rPr>
      </w:pP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В рамках работы по координации деятельности исполнительных органов и органов местного самоуправления комитетом на постоянной основе проводится мониторинг коррупциогенных факторов. Основная масса выявленных коррупциогенных факторов приходится на акты исполнительных органов (2,1% от общего количества разработанных проектов нормативных правовых актов, органы местного самоуправления– 1,6%).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Одним из элементов системы противодействия коррупции в Российской Федерации и устранения причин, ее порождающих, является институт независимой антикоррупционной экспертизы нормативных правовых актов                    и проектов нормативных правовых актов.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Целью создания названного института является усиление общественного контроля за органами власти, реализация принципа публичности и открытости деятельности государственных органов и органов местного самоуправления.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Под независимой антикоррупционной экспертизой нормативных правовых актов (проектов) понимается исследовательская деятельность аккредитованных независимых экспертов по выявлению положений, способствующих созданию условий для проявления коррупции и выработке предложений                                              для их устранения.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Порядок аккредитации независимых экспертов установлен приказом Минюста России от 29 марта 2019 года № 57 «Об утверждении Административного регламента Министерства юстиции Российской Федерации по предоставлению государственной услуги по осуществлению аккредитации юридических и физических лиц, изъявивших желание получить аккредитацию на проведение в качестве независимых экспертов антикоррупционной экспертизы нормативных правовых актов и проектов нормативных правовых актов в случаях, предусмотренных законодательством Российской Федерации».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По данным Государственного реестра независимых экспертов, получивших аккредитацию на проведение антикоррупционной экспертизы нормативных правовых актов и проектов нормативных правовых актов                               в случаях, предусмотренных законодательством Российской Федерации,                         на территории Оренбургской области в настоящее время аккредитованы                            в качестве независимых экспертов 9 физических лиц.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Антикоррупционная экспертиза проводится независимыми экспертами                   в отношении нормативных правовых актов и проектов нормативных правовых актов, размещаемых: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на сайте regulation.gov.ru (Федеральный портал проектов НПА);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на сайте regulation.orb.ru (портал для публичного обсуждения нормативных правовых актов Оренбургской области и их проектов);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на сайте Законодательного Собрания Оренбургской области;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на официальных сайтах муниципальных образований Оренбургской области и др. источниках.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Действующие нормативные акты находятся в свободном доступе                           на портале Минюста России «Нормативные правовые акты в Российской Федерации».</w:t>
      </w:r>
    </w:p>
    <w:p w:rsidR="00830E1F" w:rsidRDefault="00F2294E">
      <w:pPr>
        <w:spacing w:after="0"/>
        <w:ind w:firstLine="709"/>
        <w:jc w:val="both"/>
        <w:rPr>
          <w:rFonts w:eastAsia="Calibri"/>
          <w:color w:val="000000" w:themeColor="text1"/>
        </w:rPr>
      </w:pPr>
      <w:r>
        <w:rPr>
          <w:color w:val="000000" w:themeColor="text1"/>
          <w:szCs w:val="28"/>
        </w:rPr>
        <w:t xml:space="preserve">В 2025 году наблюдается снижение количественных показателей проведенных независимых антикоррупционных экспертиз. В рассматриваемом периоде независимые антикоррупционные экспертизы проведены в отношении 113 </w:t>
      </w:r>
      <w:r>
        <w:rPr>
          <w:rFonts w:eastAsia="Calibri"/>
          <w:color w:val="000000" w:themeColor="text1"/>
          <w:szCs w:val="28"/>
        </w:rPr>
        <w:t>проектов нормативных правовых актов</w:t>
      </w:r>
      <w:r>
        <w:rPr>
          <w:color w:val="000000" w:themeColor="text1"/>
          <w:szCs w:val="28"/>
        </w:rPr>
        <w:t xml:space="preserve"> (исполнительные органы – 43, органы местного самоуправления – 70). Для сравнения, в 2024 году независимая антикоррупционная экспертиза проведена в отношении 549 </w:t>
      </w:r>
      <w:r>
        <w:rPr>
          <w:rFonts w:eastAsia="Calibri"/>
          <w:color w:val="000000" w:themeColor="text1"/>
          <w:szCs w:val="28"/>
        </w:rPr>
        <w:t>проектов нормативных правовых актов.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  <w:szCs w:val="28"/>
        </w:rPr>
        <w:t>В целях повышения эффективности деятельности по проведению независимой антикоррупционной экспертизы нормативных правовых актов Оренбургской области и их проектов, активизации и стимулирования работы независимых экспертов по проведению независимой антикоррупционной экспертизы нормативных правовых актов</w:t>
      </w:r>
      <w:r>
        <w:rPr>
          <w:color w:val="000000" w:themeColor="text1"/>
        </w:rPr>
        <w:t xml:space="preserve">, принято постановление Правительства Оренбургской области </w:t>
      </w:r>
      <w:r>
        <w:rPr>
          <w:rFonts w:eastAsiaTheme="minorHAnsi"/>
          <w:color w:val="000000" w:themeColor="text1"/>
          <w:szCs w:val="28"/>
          <w:lang w:eastAsia="en-US"/>
        </w:rPr>
        <w:t>от 19 октября 2023 года № 1042-пп                    «О ежегодном областном конкурсе среди независимых экспертов по проведению независимой антикоррупционной экспертизы нормативных правовых актов Оренбургской области и их проектов»</w:t>
      </w:r>
      <w:r>
        <w:rPr>
          <w:color w:val="000000" w:themeColor="text1"/>
        </w:rPr>
        <w:t>.</w:t>
      </w:r>
    </w:p>
    <w:p w:rsidR="00830E1F" w:rsidRDefault="00F229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firstLine="720"/>
        <w:jc w:val="both"/>
        <w:rPr>
          <w:color w:val="000000" w:themeColor="text1"/>
          <w:szCs w:val="28"/>
        </w:rPr>
      </w:pPr>
      <w:r>
        <w:rPr>
          <w:rFonts w:eastAsia="Arial"/>
          <w:color w:val="000000" w:themeColor="text1"/>
          <w:szCs w:val="28"/>
        </w:rPr>
        <w:t xml:space="preserve">В соответствии с вышеуказанным </w:t>
      </w:r>
      <w:r>
        <w:rPr>
          <w:color w:val="000000" w:themeColor="text1"/>
        </w:rPr>
        <w:t>постановлением Правительства Оренбургской области</w:t>
      </w:r>
      <w:r>
        <w:rPr>
          <w:rFonts w:eastAsia="Arial"/>
          <w:color w:val="000000" w:themeColor="text1"/>
          <w:szCs w:val="28"/>
        </w:rPr>
        <w:t xml:space="preserve"> 21 ноября 2025 года состоялся конкурс среди независимых экспертов.</w:t>
      </w:r>
    </w:p>
    <w:p w:rsidR="00830E1F" w:rsidRDefault="00F229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firstLine="720"/>
        <w:jc w:val="both"/>
        <w:rPr>
          <w:color w:val="000000" w:themeColor="text1"/>
          <w:szCs w:val="28"/>
        </w:rPr>
      </w:pPr>
      <w:r>
        <w:rPr>
          <w:rFonts w:eastAsia="Arial"/>
          <w:color w:val="000000" w:themeColor="text1"/>
          <w:szCs w:val="28"/>
        </w:rPr>
        <w:t>В конкурсе приняли участие независимые эксперты из Ульяновской области, которые предоставили более 30 заключений по результатам проведения независимой антикоррупционной экспертизы нормативных правовых актов Оренбургской области и их проектов.</w:t>
      </w:r>
    </w:p>
    <w:p w:rsidR="00830E1F" w:rsidRDefault="00F229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firstLine="720"/>
        <w:jc w:val="both"/>
        <w:rPr>
          <w:color w:val="000000" w:themeColor="text1"/>
          <w:szCs w:val="28"/>
        </w:rPr>
      </w:pPr>
      <w:r>
        <w:rPr>
          <w:rFonts w:eastAsia="Arial"/>
          <w:color w:val="000000" w:themeColor="text1"/>
          <w:szCs w:val="28"/>
        </w:rPr>
        <w:t xml:space="preserve">В результате подведения итогов первое место присуждено независимому эксперту, занимающему должность заместителя директора по правовым вопросам и защите экономических интересов муниципального унитарного предприятия «Ульяновская городская электросеть», второе место </w:t>
      </w:r>
      <w:r>
        <w:rPr>
          <w:szCs w:val="28"/>
        </w:rPr>
        <w:t>ведущему специалисту по правовому контролю муниципального унитарного предприятия «Ульяновская городская электросеть»</w:t>
      </w:r>
      <w:r>
        <w:rPr>
          <w:rFonts w:eastAsia="Arial"/>
          <w:color w:val="000000" w:themeColor="text1"/>
          <w:szCs w:val="28"/>
        </w:rPr>
        <w:t>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Вместе с тем, имеется ряд факторов, оказывающих влияние                                  на заинтересованность независимых экспертов в достижении показателей                     на данном направлении деятельности.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Не установлена ответственность за игнорирование заключений независимых экспертов разработчиками проектов правовых актов и органами, принявшими их.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Кроме того, заключения экспертов необходимо систематизировать                      для возможности ознакомления с ними и итогами их рассмотрения в масштабе Российской Федерации.</w:t>
      </w:r>
    </w:p>
    <w:p w:rsidR="00830E1F" w:rsidRDefault="00830E1F">
      <w:pPr>
        <w:spacing w:after="0" w:line="240" w:lineRule="auto"/>
        <w:ind w:firstLine="709"/>
        <w:jc w:val="center"/>
        <w:rPr>
          <w:color w:val="000000" w:themeColor="text1"/>
          <w:szCs w:val="28"/>
        </w:rPr>
      </w:pPr>
    </w:p>
    <w:p w:rsidR="00830E1F" w:rsidRDefault="00830E1F">
      <w:pPr>
        <w:spacing w:after="0" w:line="240" w:lineRule="auto"/>
        <w:ind w:firstLine="709"/>
        <w:jc w:val="center"/>
        <w:rPr>
          <w:color w:val="000000" w:themeColor="text1"/>
          <w:szCs w:val="28"/>
        </w:rPr>
      </w:pPr>
    </w:p>
    <w:p w:rsidR="00830E1F" w:rsidRDefault="00F2294E">
      <w:pPr>
        <w:spacing w:after="0"/>
        <w:jc w:val="center"/>
        <w:rPr>
          <w:b/>
          <w:bCs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2. Меры обеспечения антикоррупционной политики </w:t>
      </w:r>
    </w:p>
    <w:p w:rsidR="00830E1F" w:rsidRDefault="00F2294E">
      <w:pPr>
        <w:spacing w:after="0"/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в Оренбургской области</w:t>
      </w:r>
    </w:p>
    <w:p w:rsidR="00830E1F" w:rsidRDefault="00830E1F">
      <w:pPr>
        <w:spacing w:after="0"/>
        <w:ind w:firstLine="709"/>
        <w:jc w:val="both"/>
        <w:rPr>
          <w:color w:val="000000" w:themeColor="text1"/>
        </w:rPr>
      </w:pPr>
    </w:p>
    <w:p w:rsidR="00830E1F" w:rsidRDefault="00F2294E">
      <w:pPr>
        <w:spacing w:after="0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Деятельность комиссии по координации работы по противодействию коррупции в Оренбургской области</w:t>
      </w:r>
    </w:p>
    <w:p w:rsidR="00830E1F" w:rsidRDefault="00830E1F">
      <w:pPr>
        <w:spacing w:after="0"/>
        <w:jc w:val="center"/>
        <w:rPr>
          <w:b/>
          <w:color w:val="000000" w:themeColor="text1"/>
        </w:rPr>
      </w:pP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В соответствии с Указом Президента Российской Федерации от 15 июля 2015 года № 364 «О мерах по совершенствованию организации деятельности </w:t>
      </w:r>
      <w:r>
        <w:rPr>
          <w:color w:val="000000" w:themeColor="text1"/>
        </w:rPr>
        <w:br/>
        <w:t>в области противодействия коррупции», указом Губернатора Оренбургской области от 15 октября 2015 года № 791-ук «О комиссии по координации работы по противодействию коррупции в Оренбургской области» образована комиссия по координации работы по противодействию коррупции в Оренбургской области (далее – комиссия по координации), являющаяся действенным инструментом в работе по профилактике коррупционных правонарушений.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Комиссия по координации является органом по рассмотрению вопросов соблюдения требований к служебному поведению и урегулированию конфликта интересов в отношении лиц, замещающих отдельные государственные должности Оренбургской области. Осуществляет координацию деятельности Правительства Оренбургской области, исполнительных органов и органов местного самоуправления по реализации государственной политики в области противодействия коррупции.</w:t>
      </w:r>
    </w:p>
    <w:p w:rsidR="00830E1F" w:rsidRDefault="00F2294E">
      <w:pPr>
        <w:spacing w:after="0"/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В работе комиссии по координации на постоянной основе принимают участие должностные лица (представители) территориальных органов федеральных органов исполнительной власти, органов прокуратуры, органов законодательной власти Оренбургской области, органов местного самоуправления, а также представитель общественной организации, уставными задачами которой является противодействии коррупции, независимый эксперт, аккредитованный Министерством юстиции Российской Федерации                             на проведение антикоррупционной экспертизы нормативных правовых актов                 и проектов нормативных правовых актов. В состав комиссии по координации входят главный федеральный инспектор по Оренбургской области, председатель Законодательного Собрания Оренбургской области, председатель Общественной палаты Оренбургской области.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Значительное внимание в работе комиссии по координации уделялось выработке решений, направленных на повышение эффективности профилактики коррупционных правонарушений, взаимодействия исполнительных органов            и органов местного самоуправления с гражданами, институтами гражданского общества, средствами массовой информации, научными организациями                        по вопросам противодействия коррупции в Оренбургской области.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В целях выполнения задач, возложенных на комиссию по координации, </w:t>
      </w:r>
      <w:r>
        <w:rPr>
          <w:color w:val="000000" w:themeColor="text1"/>
        </w:rPr>
        <w:br/>
        <w:t>и реализации ее полномочий в 2025 году проведено 4 плановых заседания,                      на которых рассмотрено 12 вопросов. Деятельность всех руководителей исполнительных органов и глав городских округов, муниципальных округов               и муниципальных районов Оренбургской области, заслушанных на заседании комиссии с отчетом о реализации антикоррупционных мероприятий, признана удовлетворительной.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В рассматриваемом периоде в рамках деятельности комиссии                                       по координации выработано 104 решения, направленных на совершенствование проводимой работы и реализацию положений региональной программы противодействия коррупции в Оренбургской области на 2025-2029 годы.          В процессе обсуждения и принятия решений, учитывались результаты мониторинга деятельности по исполнению законодательства Российской Федерации в сфере противодействия коррупции в исполнительных органах и в органах местного самоуправления, а также анализ актов прокурорского реагирования.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Следует отметить, что требует дополнительной корректировки работа, направленная на исполнение решений комиссии, в части организации мероприятий по профилактике коррупционных правонарушений                                             в подведомственных учреждениях, а также совершенствованию работы                      по антикоррупционному просвещению в исполнительных органах и органах местного самоуправления Оренбургской области.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С учетом имеющихся задач, подготовлен и утвержден план работы комиссии по координации на 2026 год.</w:t>
      </w:r>
    </w:p>
    <w:p w:rsidR="00830E1F" w:rsidRDefault="00830E1F">
      <w:pPr>
        <w:spacing w:after="0"/>
        <w:ind w:firstLine="709"/>
        <w:jc w:val="both"/>
        <w:rPr>
          <w:color w:val="000000" w:themeColor="text1"/>
        </w:rPr>
      </w:pPr>
    </w:p>
    <w:p w:rsidR="00830E1F" w:rsidRDefault="00F2294E">
      <w:pPr>
        <w:spacing w:after="0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Деятельность регионального антикоррупционного органа</w:t>
      </w:r>
    </w:p>
    <w:p w:rsidR="00830E1F" w:rsidRDefault="00830E1F">
      <w:pPr>
        <w:spacing w:after="0"/>
        <w:ind w:firstLine="709"/>
        <w:jc w:val="both"/>
        <w:rPr>
          <w:color w:val="000000" w:themeColor="text1"/>
        </w:rPr>
      </w:pP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Антикоррупционным органом, действующим на территории региона, является комитет по профилактике коррупционных правонарушений Оренбургской области (далее – комитет), координация деятельности которого осуществляется Губернатором Оренбургской области.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Указом Губернатора Оренбургской области от 29 декабря 2018 года              № 774-ук утверждено положение о комитете, в соответствии с которым                                   его основными задачами являются: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формирование у служащих и граждан нетерпимости к коррупционному поведению;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профилактика коррупционных правонарушений в Правительстве Оренбургской области, исполнительных органах и организациях, созданных для выполнения поставленных перед ними задач;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осуществление контроля за соблюдением запретов, ограничений                                и требований, установленных в целях противодействия коррупции служащими, а также лицами, замещающими отдельные должности для выполнения задач, поставленных перед исполнительными органами Оренбургской области; 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обеспечение соблюдения служащими требований законодательства Российской Федерации и Оренбургской области о контроле за расходами,                           а также иных антикоррупционных норм.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В соответствии с нормативно правовыми актами Оренбургской области               и положением о комитете, антикоррупционный орган обеспечивает деятельность следующих координационных и совещательных органов: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комиссии по координации работы по противодействию коррупции                   в Оренбургской области (Указы Губернатора Оренбургской области                                  от 15 октября 2015 года № 791-ук, № 792-ук);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комиссии по соблюдению требований к служебному (должностному) поведению лиц, замещающих муниципальные должности Оренбургской области, и урегулированию конфликта интересов (Указ Губернатора Оренбургской области от 19 февраля 2018 года № 84-ук);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комиссии по соблюдению требований к служебному поведению государственных гражданских служащих Оренбургской области, замещающих должности государственной гражданской службы в исполнительных органах Оренбургской области, назначение на которые и освобождение от которых осуществляются Губернатором Оренбургской области, и урегулированию конфликта интересов (Постановление Правительства Оренбургской области от 25 января 2022 года № 32-пп).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Учитывая, что комиссия по координации работы по противодействию коррупции в Оренбургской области выполняет функции, возложенные                                на комиссию по соблюдению требований к служебному поведению                                          и урегулированию конфликта интересов в отношении лиц, замещающих государственные должности Оренбургской области, в отчетном периоде рассмотрены материалы в отношении десяти лиц, замещающих государственные должности Оренбургской области. Н</w:t>
      </w:r>
      <w:r>
        <w:rPr>
          <w:color w:val="000000" w:themeColor="text1"/>
          <w:szCs w:val="28"/>
        </w:rPr>
        <w:t>арушений требований антикоррупционного законодательства не установлено.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Проведено 3 заседания комиссии по соблюдению требований                                        к служебному поведению лиц, замещающих должности государственной гражданской службы категории «руководители» высшей группы должностей                    в исполнительных органах Оренбургской области, и урегулированию конфликта интересов, на которых рассмотрены четыре уведомления о возникновении личной заинтересованности при исполнении должностных обязанностей, которая приводит или может привести к конфликту интересов; два обращения лиц, </w:t>
      </w:r>
      <w:r>
        <w:rPr>
          <w:rFonts w:eastAsia="Calibri"/>
          <w:color w:val="000000" w:themeColor="text1"/>
          <w:szCs w:val="28"/>
        </w:rPr>
        <w:t>замещавших должность государственной гражданской службы                            в исполнительных органах, назначение на которые и освобождение от которых осуществляются Губернатором Оренбургской области,</w:t>
      </w:r>
      <w:r>
        <w:rPr>
          <w:color w:val="000000" w:themeColor="text1"/>
        </w:rPr>
        <w:t xml:space="preserve"> о </w:t>
      </w:r>
      <w:r>
        <w:rPr>
          <w:color w:val="000000" w:themeColor="text1"/>
          <w:szCs w:val="28"/>
        </w:rPr>
        <w:t xml:space="preserve">даче согласия на замещение должности в организациях по трудовому договору; одно сообщение о заключении трудового договора с лицом, ранее замещавшим должность </w:t>
      </w:r>
      <w:r>
        <w:rPr>
          <w:rFonts w:eastAsia="Calibri"/>
          <w:color w:val="000000" w:themeColor="text1"/>
          <w:szCs w:val="28"/>
        </w:rPr>
        <w:t>государственной гражданской службы в исполнительном органе, назначение                на которую и освобождение от которой осуществляются Губернатором Оренбургской области</w:t>
      </w:r>
      <w:r>
        <w:rPr>
          <w:color w:val="000000" w:themeColor="text1"/>
          <w:szCs w:val="28"/>
        </w:rPr>
        <w:t>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В соответствии с положением о комиссии по соблюдению требований                     к служебному поведению лиц, замещающих муниципальные должности проведено 16 заседаний, на которых рассмотрены материалы в отношении          163 лиц данной категории. В отношении каждого лица принято законное                              и обоснованное решение.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На постоянной основе осуществляется мониторинг признаков коррупционных проявлений в деятельности лиц, замещающих государственные должности Оренбургской области, должности государственной гражданской службы Оренбургской области, муниципальные должности, должности муниципальной службы.</w:t>
      </w:r>
    </w:p>
    <w:p w:rsidR="00830E1F" w:rsidRDefault="00F2294E">
      <w:pPr>
        <w:spacing w:after="0"/>
        <w:ind w:firstLine="709"/>
        <w:jc w:val="both"/>
        <w:rPr>
          <w:bCs/>
          <w:color w:val="000000" w:themeColor="text1"/>
          <w:szCs w:val="28"/>
        </w:rPr>
      </w:pPr>
      <w:r>
        <w:rPr>
          <w:bCs/>
          <w:color w:val="000000" w:themeColor="text1"/>
          <w:szCs w:val="28"/>
        </w:rPr>
        <w:t xml:space="preserve">Исходя из принципов противодействия коррупции, определенных законодательством Российской Федерации, ключевым элементом при принятии решений по вопросам практической реализации запретов, ограничений                               и требований, установленных в целях противодействия коррупции, является решение комиссии по соблюдению требований к служебному поведению государственных (муниципальных) служащих </w:t>
      </w:r>
      <w:r>
        <w:rPr>
          <w:color w:val="000000" w:themeColor="text1"/>
        </w:rPr>
        <w:t>(далее – комиссия по служебному поведению)</w:t>
      </w:r>
      <w:r>
        <w:rPr>
          <w:bCs/>
          <w:color w:val="000000" w:themeColor="text1"/>
          <w:szCs w:val="28"/>
        </w:rPr>
        <w:t>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Сотрудники комитета включены в составы комиссий по служебному поведению государственных органов Оренбургской области и органов местного самоуправления.</w:t>
      </w:r>
    </w:p>
    <w:p w:rsidR="00830E1F" w:rsidRDefault="00F2294E">
      <w:pPr>
        <w:spacing w:after="0"/>
        <w:ind w:firstLine="709"/>
        <w:jc w:val="both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Исполнительным органам и органам местного самоуправления                  на постоянной основе оказывается методическая и практическая помощь по вопросам профилактики коррупционных правонарушений, соблюдения установленных ограничений и запретов, а также требований о предотвращении                                            или урегулировании конфликта интересов.</w:t>
      </w:r>
    </w:p>
    <w:p w:rsidR="00830E1F" w:rsidRDefault="00F2294E">
      <w:pPr>
        <w:spacing w:after="0"/>
        <w:ind w:firstLine="709"/>
        <w:jc w:val="both"/>
        <w:rPr>
          <w:rFonts w:eastAsia="Calibri"/>
          <w:color w:val="000000" w:themeColor="text1"/>
          <w:szCs w:val="28"/>
        </w:rPr>
      </w:pPr>
      <w:r>
        <w:rPr>
          <w:rFonts w:eastAsia="Calibri"/>
          <w:color w:val="000000" w:themeColor="text1"/>
          <w:szCs w:val="28"/>
        </w:rPr>
        <w:t>Особое внимание уделяется вопросам повышения уровня профессиональной подготовки государственных (муниципальных) служащих, реализующих функции по профилактике коррупционных правонарушений.</w:t>
      </w:r>
    </w:p>
    <w:p w:rsidR="00830E1F" w:rsidRDefault="00F2294E">
      <w:pPr>
        <w:spacing w:after="0"/>
        <w:ind w:firstLine="652"/>
        <w:jc w:val="both"/>
        <w:rPr>
          <w:color w:val="000000" w:themeColor="text1"/>
        </w:rPr>
      </w:pPr>
      <w:r>
        <w:rPr>
          <w:rFonts w:eastAsia="Calibri"/>
          <w:color w:val="000000" w:themeColor="text1"/>
        </w:rPr>
        <w:t xml:space="preserve">Сотрудники комитета приняли участие в 21 мероприятии по повышению уровня профессиональной подготовки специалистов исполнительных органов  и органов местного самоуправления по линии профилактики коррупционных   и иных правонарушений, в числе которых </w:t>
      </w:r>
      <w:r>
        <w:rPr>
          <w:color w:val="000000" w:themeColor="text1"/>
        </w:rPr>
        <w:t>антикоррупционный форум</w:t>
      </w:r>
      <w:r>
        <w:rPr>
          <w:rFonts w:eastAsia="Calibri"/>
          <w:color w:val="000000" w:themeColor="text1"/>
        </w:rPr>
        <w:t>,               8 семинаров-совещаний, 12 обучающих мероприятий</w:t>
      </w:r>
      <w:r>
        <w:rPr>
          <w:color w:val="000000" w:themeColor="text1"/>
        </w:rPr>
        <w:t>.</w:t>
      </w:r>
    </w:p>
    <w:p w:rsidR="00830E1F" w:rsidRDefault="00F2294E">
      <w:pPr>
        <w:spacing w:after="0"/>
        <w:ind w:right="227" w:firstLine="709"/>
        <w:jc w:val="both"/>
        <w:rPr>
          <w:color w:val="000000" w:themeColor="text1"/>
        </w:rPr>
      </w:pPr>
      <w:r>
        <w:rPr>
          <w:color w:val="000000" w:themeColor="text1"/>
          <w:shd w:val="clear" w:color="auto" w:fill="FFFFFF"/>
        </w:rPr>
        <w:t xml:space="preserve">Комитетом подготовлены и направлены для практического использования подразделениями (специалистами) исполнительных органов и органов местного самоуправления Оренбургской области, в функции которых входит профилактика коррупции: </w:t>
      </w:r>
      <w:r>
        <w:rPr>
          <w:color w:val="000000" w:themeColor="text1"/>
        </w:rPr>
        <w:t xml:space="preserve">методические рекомендации по вопросам формирования программ (планов) по противодействию коррупции, принимаемых в исполнительных органах и органах местного самоуправления Оренбургской области; информационные материалы по результатам </w:t>
      </w:r>
      <w:r>
        <w:rPr>
          <w:color w:val="000000" w:themeColor="text1"/>
          <w:szCs w:val="28"/>
        </w:rPr>
        <w:t>мониторинга взаимодействия исполнительных органов и органов местного самоуправления с общественными организациями по вопросам профилактики коррупционных правонарушений</w:t>
      </w:r>
      <w:r>
        <w:rPr>
          <w:color w:val="000000" w:themeColor="text1"/>
        </w:rPr>
        <w:t xml:space="preserve">; обзор уголовных дел, возбужденных                    по преступлениям </w:t>
      </w:r>
      <w:r>
        <w:rPr>
          <w:color w:val="000000" w:themeColor="text1"/>
          <w:szCs w:val="28"/>
        </w:rPr>
        <w:t>коррупционной направленности; памятка 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           и (или) пользоваться иностранными финансовыми инструментами</w:t>
      </w:r>
      <w:r>
        <w:rPr>
          <w:rFonts w:eastAsia="Calibri"/>
          <w:color w:val="000000" w:themeColor="text1"/>
          <w:szCs w:val="28"/>
        </w:rPr>
        <w:t xml:space="preserve">; </w:t>
      </w:r>
      <w:r>
        <w:rPr>
          <w:color w:val="000000" w:themeColor="text1"/>
          <w:szCs w:val="28"/>
        </w:rPr>
        <w:t xml:space="preserve">обзор результатов мониторинга эффективности деятельности по профилактике коррупционных правонарушений; обзор результатов проведения антикоррупционного диктанта; </w:t>
      </w:r>
      <w:r>
        <w:rPr>
          <w:color w:val="000000" w:themeColor="text1"/>
        </w:rPr>
        <w:t>методические рекомендации по предупреждению нарушений, в том числе по выявлению и минимизации коррупционных рисков, при осуществлении закупок товаров, работ, услуг для обеспечения государственных и муниципальных нужд.</w:t>
      </w:r>
    </w:p>
    <w:p w:rsidR="00830E1F" w:rsidRDefault="00F2294E">
      <w:pPr>
        <w:spacing w:after="0"/>
        <w:ind w:right="227"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Кроме того, на сайте комитета по профилактике коррупционных правонарушений Оренбургской области в подразделе «Комитет разъясняет»    </w:t>
      </w:r>
      <w:r>
        <w:rPr>
          <w:szCs w:val="28"/>
        </w:rPr>
        <w:t>в информационно-телекоммуникационной сети «Интернет» размещено 12 материалов по вопросам практического применения законодательства              о противодействии коррупции.</w:t>
      </w:r>
    </w:p>
    <w:p w:rsidR="00830E1F" w:rsidRDefault="00F2294E">
      <w:pPr>
        <w:spacing w:after="0"/>
        <w:ind w:firstLine="709"/>
        <w:jc w:val="both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В целях оценки эффективности антикоррупционных мероприятий комитетом в рамках реализации своих полномочий в отчетном периоде проведен мониторинг деятельности в 4 исполнительных органах и 8 органах местного самоуправления.</w:t>
      </w:r>
    </w:p>
    <w:p w:rsidR="00830E1F" w:rsidRDefault="00F2294E">
      <w:pPr>
        <w:spacing w:after="0"/>
        <w:ind w:firstLine="709"/>
        <w:jc w:val="both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В результате мониторинга дана оценка эффективности деятельности                        по профилактике коррупции, выявлена положительная практика применения законодательства, установлены как характерные недостатки, так и недоработки присущие конкретным исполнительным органам и органам местного самоуправления.</w:t>
      </w:r>
    </w:p>
    <w:p w:rsidR="00830E1F" w:rsidRDefault="00F2294E">
      <w:pPr>
        <w:spacing w:after="0"/>
        <w:ind w:firstLine="709"/>
        <w:jc w:val="both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По представлению комитета результаты мониторинга рассмотрены                 на заседаниях комиссии по координации работы по противодействию коррупции, по итогам которых выработаны конкретные решения, направленные                                    на устранение недостатков и совершенствование работы.</w:t>
      </w:r>
    </w:p>
    <w:p w:rsidR="00830E1F" w:rsidRDefault="00F2294E">
      <w:pPr>
        <w:spacing w:after="0"/>
        <w:ind w:firstLine="709"/>
        <w:jc w:val="both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Комитетом, как уполномоченным органом в сфере профилактики коррупции, особое внимание уделяется работе по установлению фактов несоблюдения запретов, ограничений и требований, установленных в целях противодействия коррупции, выявлению и устранению причин и условий, способствующих возникновению конфликта интересов при осуществлении служащими своих полномочий.</w:t>
      </w:r>
    </w:p>
    <w:p w:rsidR="00830E1F" w:rsidRDefault="00F2294E">
      <w:pPr>
        <w:spacing w:after="0"/>
        <w:ind w:firstLine="709"/>
        <w:jc w:val="both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Специалистами комитета проведено 77 проверок, в том числе:</w:t>
      </w:r>
    </w:p>
    <w:p w:rsidR="00830E1F" w:rsidRDefault="00F2294E">
      <w:pPr>
        <w:spacing w:after="0"/>
        <w:ind w:firstLine="709"/>
        <w:jc w:val="both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 xml:space="preserve">26 – достоверности и полноты сведений о доходах, представленных лицами, замещающими одну </w:t>
      </w:r>
      <w:r>
        <w:rPr>
          <w:color w:val="000000" w:themeColor="text1"/>
        </w:rPr>
        <w:t>должность государственной гражданской службы категории «руководители»</w:t>
      </w:r>
      <w:r>
        <w:rPr>
          <w:rFonts w:eastAsia="Calibri"/>
          <w:color w:val="000000" w:themeColor="text1"/>
        </w:rPr>
        <w:t>, 25 муниципальные должности;</w:t>
      </w:r>
    </w:p>
    <w:p w:rsidR="00830E1F" w:rsidRDefault="00F2294E">
      <w:pPr>
        <w:spacing w:after="0"/>
        <w:ind w:firstLine="709"/>
        <w:jc w:val="both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35 – соблюдения установленных ограничений и запретов лицами, замещающими муниципальные должности;</w:t>
      </w:r>
    </w:p>
    <w:p w:rsidR="00830E1F" w:rsidRDefault="00F2294E">
      <w:pPr>
        <w:spacing w:after="0"/>
        <w:ind w:firstLine="709"/>
        <w:jc w:val="both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 xml:space="preserve">16 – соблюдения требований о предотвращении и урегулировании конфликта интересов лицами, замещающими одну </w:t>
      </w:r>
      <w:r>
        <w:rPr>
          <w:color w:val="000000" w:themeColor="text1"/>
        </w:rPr>
        <w:t>должность государственной гражданской службы категории «руководители»</w:t>
      </w:r>
      <w:r>
        <w:rPr>
          <w:rFonts w:eastAsia="Calibri"/>
          <w:color w:val="000000" w:themeColor="text1"/>
        </w:rPr>
        <w:t>, 15 муниципальные должности.</w:t>
      </w:r>
    </w:p>
    <w:p w:rsidR="00830E1F" w:rsidRDefault="00F2294E">
      <w:pPr>
        <w:spacing w:after="0"/>
        <w:ind w:firstLine="709"/>
        <w:jc w:val="both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 xml:space="preserve">Меры дисциплинарного воздействия применены в отношении 19 лиц,              в том числе в отношении одного лица, </w:t>
      </w:r>
      <w:r>
        <w:rPr>
          <w:color w:val="000000" w:themeColor="text1"/>
        </w:rPr>
        <w:t>замещающего должность государственной гражданской службы категории «руководители»</w:t>
      </w:r>
      <w:r>
        <w:rPr>
          <w:rFonts w:eastAsia="Calibri"/>
          <w:color w:val="000000" w:themeColor="text1"/>
        </w:rPr>
        <w:t>, 18 лиц, замещающих муниципальные должности.</w:t>
      </w:r>
    </w:p>
    <w:p w:rsidR="00830E1F" w:rsidRDefault="00F2294E">
      <w:pPr>
        <w:spacing w:after="0"/>
        <w:jc w:val="center"/>
        <w:rPr>
          <w:rFonts w:eastAsia="Calibri"/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684209" cy="3808668"/>
            <wp:effectExtent l="4762" t="4762" r="4762" b="4762"/>
            <wp:docPr id="9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30E1F" w:rsidRDefault="00830E1F">
      <w:pPr>
        <w:spacing w:after="0"/>
        <w:ind w:firstLine="709"/>
        <w:jc w:val="center"/>
        <w:rPr>
          <w:b/>
          <w:bCs/>
          <w:color w:val="000000" w:themeColor="text1"/>
          <w:sz w:val="24"/>
          <w:szCs w:val="24"/>
        </w:rPr>
      </w:pPr>
    </w:p>
    <w:p w:rsidR="00830E1F" w:rsidRDefault="00F2294E">
      <w:pPr>
        <w:spacing w:after="0"/>
        <w:ind w:firstLine="709"/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Сведения о проведенных проверочных мероприятиях</w:t>
      </w:r>
    </w:p>
    <w:p w:rsidR="00830E1F" w:rsidRDefault="00830E1F">
      <w:pPr>
        <w:spacing w:after="0"/>
        <w:ind w:firstLine="709"/>
        <w:jc w:val="both"/>
        <w:rPr>
          <w:color w:val="000000" w:themeColor="text1"/>
          <w:szCs w:val="28"/>
        </w:rPr>
      </w:pPr>
    </w:p>
    <w:p w:rsidR="00830E1F" w:rsidRDefault="00F2294E">
      <w:pPr>
        <w:spacing w:after="0"/>
        <w:ind w:firstLine="709"/>
        <w:jc w:val="both"/>
        <w:rPr>
          <w:rFonts w:eastAsia="Calibri"/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Проводится анализ исполнения решений </w:t>
      </w:r>
      <w:r>
        <w:rPr>
          <w:color w:val="000000" w:themeColor="text1"/>
        </w:rPr>
        <w:t xml:space="preserve">комиссии по координации работы                 по противодействию коррупции в Оренбургской области, направленных                           на </w:t>
      </w:r>
      <w:r>
        <w:rPr>
          <w:color w:val="000000" w:themeColor="text1"/>
          <w:szCs w:val="28"/>
        </w:rPr>
        <w:t>повышение эффективности противодействия коррупции при осуществлении закупок товаров, работ, услуг. Показатели, отражающие эффективность проведения мероприятий антикоррупционной направленности в сфере закупок, включены в мониторинг деятельности по профилактике коррупции исполнительных органов и органов местного самоуправления Оренбургской области.</w:t>
      </w:r>
    </w:p>
    <w:p w:rsidR="00830E1F" w:rsidRDefault="00F2294E">
      <w:pPr>
        <w:spacing w:after="0"/>
        <w:ind w:firstLine="709"/>
        <w:jc w:val="both"/>
        <w:rPr>
          <w:rFonts w:eastAsia="Calibri"/>
          <w:color w:val="000000" w:themeColor="text1"/>
          <w:szCs w:val="28"/>
        </w:rPr>
      </w:pPr>
      <w:r>
        <w:rPr>
          <w:rFonts w:eastAsia="Calibri"/>
          <w:color w:val="000000" w:themeColor="text1"/>
        </w:rPr>
        <w:t xml:space="preserve">В целях реализации законодательства о противодействии коррупции                        и достижения конечных целей профилактики коррупционных правонарушений организовано взаимодействие комитета и отдела по надзору за соблюдением законодательства о противодействии коррупции прокуратуры Оренбургской </w:t>
      </w:r>
      <w:r>
        <w:rPr>
          <w:rFonts w:eastAsia="Calibri"/>
          <w:color w:val="000000" w:themeColor="text1"/>
          <w:szCs w:val="28"/>
        </w:rPr>
        <w:t xml:space="preserve">области при проведении проверочных мероприятий и </w:t>
      </w:r>
      <w:r>
        <w:rPr>
          <w:color w:val="000000" w:themeColor="text1"/>
          <w:szCs w:val="28"/>
        </w:rPr>
        <w:t>осуществлении процедуры контроля за расходами</w:t>
      </w:r>
      <w:r>
        <w:rPr>
          <w:rFonts w:eastAsia="Calibri"/>
          <w:color w:val="000000" w:themeColor="text1"/>
          <w:szCs w:val="28"/>
        </w:rPr>
        <w:t>.</w:t>
      </w:r>
    </w:p>
    <w:p w:rsidR="00830E1F" w:rsidRDefault="00830E1F">
      <w:pPr>
        <w:spacing w:after="0"/>
        <w:ind w:firstLine="709"/>
        <w:jc w:val="both"/>
        <w:rPr>
          <w:color w:val="000000" w:themeColor="text1"/>
        </w:rPr>
      </w:pPr>
    </w:p>
    <w:p w:rsidR="00830E1F" w:rsidRDefault="00F2294E">
      <w:pPr>
        <w:spacing w:after="0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Реализация мер по профилактике коррупционных правонарушений </w:t>
      </w:r>
    </w:p>
    <w:p w:rsidR="00830E1F" w:rsidRDefault="00F2294E">
      <w:pPr>
        <w:spacing w:after="0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в органах государственной власти и органах местного самоуправления</w:t>
      </w:r>
    </w:p>
    <w:p w:rsidR="00830E1F" w:rsidRDefault="00830E1F">
      <w:pPr>
        <w:spacing w:after="0"/>
        <w:ind w:firstLine="709"/>
        <w:jc w:val="both"/>
        <w:rPr>
          <w:color w:val="000000" w:themeColor="text1"/>
        </w:rPr>
      </w:pPr>
    </w:p>
    <w:p w:rsidR="00830E1F" w:rsidRDefault="00F2294E">
      <w:pPr>
        <w:spacing w:after="0" w:line="269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Органами государственной власти и органами местного самоуправления приняты меры по повышению эффективности деятельности комиссий                                по соблюдению требований к служебному поведению и урегулированию конфликта интересов, в том числе по исключению случаев вынесения                                  на рассмотрение вопросов, не отнесенных к их компетенции.</w:t>
      </w:r>
    </w:p>
    <w:p w:rsidR="00830E1F" w:rsidRDefault="00F2294E">
      <w:pPr>
        <w:spacing w:after="0" w:line="266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В настоящее время в исполнительных органах действует 28 комиссий,               в органах местного самоуправления – 63 комиссии. Проведено 39 заседаний комиссий в исполнительных органах, 37 заседаний в органах местного самоуправления.</w:t>
      </w:r>
    </w:p>
    <w:p w:rsidR="00830E1F" w:rsidRDefault="00F2294E">
      <w:pPr>
        <w:spacing w:after="0" w:line="266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В 2025 году на заседаниях комиссий исполнительных органов и органов местного самоуправления рассмотрены материалы в отношении 104 государственных гражданских служащих и муниципальных служащих (далее – служащие). </w:t>
      </w:r>
    </w:p>
    <w:p w:rsidR="00830E1F" w:rsidRDefault="00F2294E">
      <w:pPr>
        <w:spacing w:after="0" w:line="266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Рассмотрены материалы в отношении:</w:t>
      </w:r>
    </w:p>
    <w:p w:rsidR="00830E1F" w:rsidRDefault="00F2294E">
      <w:pPr>
        <w:spacing w:after="0" w:line="266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37 служащих – по фактам предоставления недостоверных и неполных сведений о доходах;</w:t>
      </w:r>
    </w:p>
    <w:p w:rsidR="00830E1F" w:rsidRDefault="00F2294E">
      <w:pPr>
        <w:spacing w:after="0" w:line="266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32 служащих – по фактам несоблюдения требований к служебному поведению и (или) требований об урегулировании конфликта интересов;</w:t>
      </w:r>
    </w:p>
    <w:p w:rsidR="00830E1F" w:rsidRDefault="00F2294E">
      <w:pPr>
        <w:spacing w:after="0" w:line="266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24 служащих – о даче согласия на замещение должности в коммерческой или некоммерческой организации, либо на выполнение работы на условиях гражданско-правового договора;</w:t>
      </w:r>
    </w:p>
    <w:p w:rsidR="00830E1F" w:rsidRDefault="00F2294E">
      <w:pPr>
        <w:spacing w:after="0" w:line="266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11 служащих – о невозможности по объективным причинам представить сведения о доходах.</w:t>
      </w:r>
    </w:p>
    <w:p w:rsidR="00830E1F" w:rsidRDefault="00F2294E">
      <w:pPr>
        <w:spacing w:after="0" w:line="266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Комиссиями выявлено 36 нарушений служащими антикоррупционного законодательства, из которых 19 совершены служащими государственных органов.</w:t>
      </w:r>
    </w:p>
    <w:p w:rsidR="00830E1F" w:rsidRDefault="00830E1F">
      <w:pPr>
        <w:spacing w:after="0"/>
        <w:jc w:val="center"/>
        <w:rPr>
          <w:b/>
          <w:bCs/>
          <w:color w:val="000000" w:themeColor="text1"/>
          <w:sz w:val="20"/>
          <w:szCs w:val="20"/>
        </w:rPr>
      </w:pPr>
    </w:p>
    <w:p w:rsidR="00830E1F" w:rsidRDefault="00830E1F">
      <w:pPr>
        <w:spacing w:after="0"/>
        <w:jc w:val="center"/>
        <w:rPr>
          <w:b/>
          <w:bCs/>
          <w:color w:val="000000" w:themeColor="text1"/>
          <w:sz w:val="20"/>
          <w:szCs w:val="20"/>
        </w:rPr>
      </w:pPr>
    </w:p>
    <w:p w:rsidR="00830E1F" w:rsidRDefault="00F2294E">
      <w:pPr>
        <w:spacing w:after="0"/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Сведения о деятельности комиссий по соблюдению требований </w:t>
      </w:r>
      <w:r>
        <w:rPr>
          <w:b/>
          <w:color w:val="000000" w:themeColor="text1"/>
          <w:sz w:val="24"/>
          <w:szCs w:val="24"/>
        </w:rPr>
        <w:br/>
        <w:t>к служебному поведению и урегулированию конфликта интересов</w:t>
      </w:r>
    </w:p>
    <w:tbl>
      <w:tblPr>
        <w:tblStyle w:val="aff0"/>
        <w:tblW w:w="9634" w:type="dxa"/>
        <w:tblBorders>
          <w:bottom w:val="none" w:sz="0" w:space="0" w:color="auto"/>
        </w:tblBorders>
        <w:shd w:val="solid" w:color="95B3D7" w:themeColor="accent1" w:themeTint="99" w:fill="548DD4" w:themeFill="text2" w:themeFillTint="99"/>
        <w:tblLook w:val="04A0" w:firstRow="1" w:lastRow="0" w:firstColumn="1" w:lastColumn="0" w:noHBand="0" w:noVBand="1"/>
      </w:tblPr>
      <w:tblGrid>
        <w:gridCol w:w="4942"/>
        <w:gridCol w:w="2241"/>
        <w:gridCol w:w="2451"/>
      </w:tblGrid>
      <w:tr w:rsidR="00830E1F">
        <w:trPr>
          <w:trHeight w:val="705"/>
        </w:trPr>
        <w:tc>
          <w:tcPr>
            <w:tcW w:w="4942" w:type="dxa"/>
            <w:shd w:val="solid" w:color="95B3D7" w:themeColor="accent1" w:themeTint="99" w:fill="548DD4" w:themeFill="text2" w:themeFillTint="99"/>
          </w:tcPr>
          <w:p w:rsidR="00830E1F" w:rsidRDefault="00F2294E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Деятельность комиссий в 2025 году</w:t>
            </w:r>
          </w:p>
        </w:tc>
        <w:tc>
          <w:tcPr>
            <w:tcW w:w="2241" w:type="dxa"/>
            <w:shd w:val="solid" w:color="95B3D7" w:themeColor="accent1" w:themeTint="99" w:fill="548DD4" w:themeFill="text2" w:themeFillTint="99"/>
          </w:tcPr>
          <w:p w:rsidR="00830E1F" w:rsidRDefault="00F2294E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исполнительные органы </w:t>
            </w:r>
          </w:p>
        </w:tc>
        <w:tc>
          <w:tcPr>
            <w:tcW w:w="2451" w:type="dxa"/>
            <w:shd w:val="solid" w:color="95B3D7" w:themeColor="accent1" w:themeTint="99" w:fill="548DD4" w:themeFill="text2" w:themeFillTint="99"/>
          </w:tcPr>
          <w:p w:rsidR="00830E1F" w:rsidRDefault="00F2294E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Органы</w:t>
            </w:r>
          </w:p>
          <w:p w:rsidR="00830E1F" w:rsidRDefault="00F2294E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местного самоуправления</w:t>
            </w:r>
          </w:p>
        </w:tc>
      </w:tr>
      <w:tr w:rsidR="00830E1F">
        <w:trPr>
          <w:trHeight w:val="248"/>
          <w:tblHeader/>
        </w:trPr>
        <w:tc>
          <w:tcPr>
            <w:tcW w:w="4942" w:type="dxa"/>
            <w:tcBorders>
              <w:bottom w:val="single" w:sz="4" w:space="0" w:color="auto"/>
            </w:tcBorders>
            <w:shd w:val="solid" w:color="95B3D7" w:themeColor="accent1" w:themeTint="99" w:fill="548DD4" w:themeFill="text2" w:themeFillTint="99"/>
          </w:tcPr>
          <w:p w:rsidR="00830E1F" w:rsidRDefault="00F2294E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2241" w:type="dxa"/>
            <w:tcBorders>
              <w:bottom w:val="single" w:sz="4" w:space="0" w:color="auto"/>
            </w:tcBorders>
            <w:shd w:val="solid" w:color="95B3D7" w:themeColor="accent1" w:themeTint="99" w:fill="548DD4" w:themeFill="text2" w:themeFillTint="99"/>
          </w:tcPr>
          <w:p w:rsidR="00830E1F" w:rsidRDefault="00F2294E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451" w:type="dxa"/>
            <w:tcBorders>
              <w:bottom w:val="single" w:sz="4" w:space="0" w:color="auto"/>
            </w:tcBorders>
            <w:shd w:val="solid" w:color="95B3D7" w:themeColor="accent1" w:themeTint="99" w:fill="548DD4" w:themeFill="text2" w:themeFillTint="99"/>
          </w:tcPr>
          <w:p w:rsidR="00830E1F" w:rsidRDefault="00F2294E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</w:tr>
      <w:tr w:rsidR="00830E1F">
        <w:tc>
          <w:tcPr>
            <w:tcW w:w="4942" w:type="dxa"/>
            <w:shd w:val="solid" w:color="B8CCE4" w:themeColor="accent1" w:themeTint="66" w:fill="548DD4" w:themeFill="text2" w:themeFillTint="99"/>
          </w:tcPr>
          <w:p w:rsidR="00830E1F" w:rsidRDefault="00F2294E">
            <w:pPr>
              <w:spacing w:line="276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Количество комиссий</w:t>
            </w:r>
          </w:p>
        </w:tc>
        <w:tc>
          <w:tcPr>
            <w:tcW w:w="2241" w:type="dxa"/>
            <w:shd w:val="solid" w:color="B8CCE4" w:themeColor="accent1" w:themeTint="66" w:fill="548DD4" w:themeFill="text2" w:themeFillTint="99"/>
          </w:tcPr>
          <w:p w:rsidR="00830E1F" w:rsidRDefault="00F2294E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</w:t>
            </w:r>
          </w:p>
        </w:tc>
        <w:tc>
          <w:tcPr>
            <w:tcW w:w="2451" w:type="dxa"/>
            <w:shd w:val="solid" w:color="B8CCE4" w:themeColor="accent1" w:themeTint="66" w:fill="548DD4" w:themeFill="text2" w:themeFillTint="99"/>
          </w:tcPr>
          <w:p w:rsidR="00830E1F" w:rsidRDefault="00F2294E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63</w:t>
            </w:r>
          </w:p>
        </w:tc>
      </w:tr>
      <w:tr w:rsidR="00830E1F">
        <w:tc>
          <w:tcPr>
            <w:tcW w:w="4942" w:type="dxa"/>
            <w:tcBorders>
              <w:bottom w:val="single" w:sz="4" w:space="0" w:color="auto"/>
            </w:tcBorders>
            <w:shd w:val="solid" w:color="95B3D7" w:themeColor="accent1" w:themeTint="99" w:fill="548DD4" w:themeFill="text2" w:themeFillTint="99"/>
          </w:tcPr>
          <w:p w:rsidR="00830E1F" w:rsidRDefault="00F2294E">
            <w:pPr>
              <w:spacing w:line="276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Количество проведенных заседаний</w:t>
            </w:r>
          </w:p>
        </w:tc>
        <w:tc>
          <w:tcPr>
            <w:tcW w:w="2241" w:type="dxa"/>
            <w:tcBorders>
              <w:bottom w:val="single" w:sz="4" w:space="0" w:color="auto"/>
            </w:tcBorders>
            <w:shd w:val="solid" w:color="95B3D7" w:themeColor="accent1" w:themeTint="99" w:fill="548DD4" w:themeFill="text2" w:themeFillTint="99"/>
          </w:tcPr>
          <w:p w:rsidR="00830E1F" w:rsidRDefault="00F2294E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39</w:t>
            </w:r>
          </w:p>
        </w:tc>
        <w:tc>
          <w:tcPr>
            <w:tcW w:w="2451" w:type="dxa"/>
            <w:tcBorders>
              <w:bottom w:val="single" w:sz="4" w:space="0" w:color="auto"/>
            </w:tcBorders>
            <w:shd w:val="solid" w:color="95B3D7" w:themeColor="accent1" w:themeTint="99" w:fill="548DD4" w:themeFill="text2" w:themeFillTint="99"/>
          </w:tcPr>
          <w:p w:rsidR="00830E1F" w:rsidRDefault="00F2294E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37</w:t>
            </w:r>
          </w:p>
        </w:tc>
      </w:tr>
      <w:tr w:rsidR="00830E1F">
        <w:tc>
          <w:tcPr>
            <w:tcW w:w="4942" w:type="dxa"/>
            <w:shd w:val="solid" w:color="B8CCE4" w:themeColor="accent1" w:themeTint="66" w:fill="548DD4" w:themeFill="text2" w:themeFillTint="99"/>
          </w:tcPr>
          <w:p w:rsidR="00830E1F" w:rsidRDefault="00F2294E">
            <w:pPr>
              <w:spacing w:line="276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Количество служащих, в отношении которых рассмотрены материалы</w:t>
            </w:r>
          </w:p>
        </w:tc>
        <w:tc>
          <w:tcPr>
            <w:tcW w:w="2241" w:type="dxa"/>
            <w:shd w:val="solid" w:color="B8CCE4" w:themeColor="accent1" w:themeTint="66" w:fill="548DD4" w:themeFill="text2" w:themeFillTint="99"/>
          </w:tcPr>
          <w:p w:rsidR="00830E1F" w:rsidRDefault="00F2294E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48</w:t>
            </w:r>
          </w:p>
        </w:tc>
        <w:tc>
          <w:tcPr>
            <w:tcW w:w="2451" w:type="dxa"/>
            <w:shd w:val="solid" w:color="B8CCE4" w:themeColor="accent1" w:themeTint="66" w:fill="548DD4" w:themeFill="text2" w:themeFillTint="99"/>
          </w:tcPr>
          <w:p w:rsidR="00830E1F" w:rsidRDefault="00F2294E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56</w:t>
            </w:r>
          </w:p>
        </w:tc>
      </w:tr>
      <w:tr w:rsidR="00830E1F">
        <w:tc>
          <w:tcPr>
            <w:tcW w:w="4942" w:type="dxa"/>
            <w:tcBorders>
              <w:bottom w:val="single" w:sz="4" w:space="0" w:color="auto"/>
            </w:tcBorders>
            <w:shd w:val="solid" w:color="95B3D7" w:themeColor="accent1" w:themeTint="99" w:fill="548DD4" w:themeFill="text2" w:themeFillTint="99"/>
          </w:tcPr>
          <w:p w:rsidR="00830E1F" w:rsidRDefault="00F2294E">
            <w:pPr>
              <w:spacing w:line="276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Количество выявленных нарушений</w:t>
            </w:r>
          </w:p>
        </w:tc>
        <w:tc>
          <w:tcPr>
            <w:tcW w:w="2241" w:type="dxa"/>
            <w:tcBorders>
              <w:bottom w:val="single" w:sz="4" w:space="0" w:color="auto"/>
            </w:tcBorders>
            <w:shd w:val="solid" w:color="95B3D7" w:themeColor="accent1" w:themeTint="99" w:fill="548DD4" w:themeFill="text2" w:themeFillTint="99"/>
          </w:tcPr>
          <w:p w:rsidR="00830E1F" w:rsidRDefault="00F2294E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</w:t>
            </w:r>
          </w:p>
        </w:tc>
        <w:tc>
          <w:tcPr>
            <w:tcW w:w="2451" w:type="dxa"/>
            <w:tcBorders>
              <w:bottom w:val="single" w:sz="4" w:space="0" w:color="auto"/>
            </w:tcBorders>
            <w:shd w:val="solid" w:color="95B3D7" w:themeColor="accent1" w:themeTint="99" w:fill="548DD4" w:themeFill="text2" w:themeFillTint="99"/>
          </w:tcPr>
          <w:p w:rsidR="00830E1F" w:rsidRDefault="00F2294E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</w:t>
            </w:r>
          </w:p>
        </w:tc>
      </w:tr>
    </w:tbl>
    <w:p w:rsidR="00830E1F" w:rsidRDefault="00830E1F">
      <w:pPr>
        <w:spacing w:after="0"/>
        <w:ind w:firstLine="709"/>
        <w:jc w:val="both"/>
        <w:rPr>
          <w:color w:val="000000" w:themeColor="text1"/>
        </w:rPr>
      </w:pP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В отчетном периоде проведен анализ сведений о доходах, представленных 895 гражданами, претендующими на замещение должностей государственной (муниципальной) службы.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Проведено 3 проверки, в результате которых установлены факты предоставления недостоверных и (или) неполных сведений о доходах 3 гражданами.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Проведен анализ сведений о доходах, представленных 1145 служащими государственных органов и 2840 служащими органов местного самоуправления в рамках декларационной кампании. По результатам анализа инициированы                    и проведены проверки в отношении 18 служащих государственных органов                    и 30 служащих органов местного самоуправления.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Установлены факты представления недостоверных и (или) неполных сведений о доходах в отношении 17 служащих исполнительных органов</w:t>
      </w:r>
      <w:r>
        <w:rPr>
          <w:color w:val="00B0F0"/>
        </w:rPr>
        <w:t xml:space="preserve"> </w:t>
      </w:r>
      <w:r>
        <w:rPr>
          <w:color w:val="000000" w:themeColor="text1"/>
        </w:rPr>
        <w:t>и 43 служащих органов местного самоуправления.</w:t>
      </w:r>
      <w:r>
        <w:rPr>
          <w:color w:val="00B0F0"/>
        </w:rPr>
        <w:t xml:space="preserve"> </w:t>
      </w:r>
      <w:r>
        <w:rPr>
          <w:color w:val="000000" w:themeColor="text1"/>
        </w:rPr>
        <w:t>По результатам проверок                       к дисциплинарной ответственности привлечены 34 служащих.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szCs w:val="28"/>
        </w:rPr>
        <w:t>В соответствии</w:t>
      </w:r>
      <w:r>
        <w:rPr>
          <w:color w:val="000000" w:themeColor="text1"/>
          <w:szCs w:val="28"/>
        </w:rPr>
        <w:t xml:space="preserve"> со статьей 10 Федерального закона от 03.12.2012                № 230-ФЗ «О контроле за соответствием расходов лиц, замещающих государственные должности, и иных лиц их доходам» в</w:t>
      </w:r>
      <w:r>
        <w:rPr>
          <w:color w:val="000000" w:themeColor="text1"/>
        </w:rPr>
        <w:t xml:space="preserve"> 2025 году </w:t>
      </w:r>
      <w:r>
        <w:rPr>
          <w:szCs w:val="28"/>
        </w:rPr>
        <w:t>комитетом проведен анализ 713 сведений, а также 4 информаций, представленных органами местного самоуправления Оренбургской области, содержащих признаки, указывающие на возможную необходимость проведения процедуры контроля за соответствием расходов. На основании проведенного анализа д</w:t>
      </w:r>
      <w:r>
        <w:rPr>
          <w:color w:val="000000" w:themeColor="text1"/>
          <w:szCs w:val="28"/>
        </w:rPr>
        <w:t xml:space="preserve">остаточность информация для принятия решения об осуществлении контроля за расходами установлена в отношении одного муниципального служащего. </w:t>
      </w:r>
      <w:r>
        <w:rPr>
          <w:szCs w:val="28"/>
        </w:rPr>
        <w:t xml:space="preserve">Комитетом инициирована процедура контроля за соответствием расходов, по результатам проведения которой установлено, что расходы муниципального служащего,         не соответствуют полученным доходам. Согласно положениям </w:t>
      </w:r>
      <w:r>
        <w:rPr>
          <w:color w:val="000000" w:themeColor="text1"/>
          <w:szCs w:val="28"/>
        </w:rPr>
        <w:t>статьи 13 Федерального закона от 03.12.2012 № 230-ФЗ «О контроле за соответствием расходов лиц, замещающих государственные должности, и иных лиц их доходам» материалы, полученные в результате осуществления процедуры контроля за расходами, направлены в прокуратуру Оренбургской области.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В результате проведенной профилактической работы в регионе, в 2025 году уведомления о возможности возникновения конфликта интересов поступили от 199 служащих.</w:t>
      </w:r>
      <w:r>
        <w:rPr>
          <w:color w:val="00B0F0"/>
        </w:rPr>
        <w:t xml:space="preserve"> </w:t>
      </w:r>
      <w:r>
        <w:rPr>
          <w:color w:val="000000" w:themeColor="text1"/>
        </w:rPr>
        <w:t>В 91 случае приняты меры по предотвращению конфликта интересов, в остальных возможность его возникновения                            не усматривалась.</w:t>
      </w:r>
    </w:p>
    <w:p w:rsidR="00830E1F" w:rsidRDefault="00F2294E">
      <w:pPr>
        <w:spacing w:after="0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593741" cy="2236048"/>
            <wp:effectExtent l="4762" t="4762" r="4762" b="4762"/>
            <wp:docPr id="10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30E1F" w:rsidRDefault="00F2294E">
      <w:pPr>
        <w:spacing w:after="0"/>
        <w:ind w:firstLine="709"/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Сведения о результатах рассмотрения уведомлений о возникновении (возможности возникновения) конфликта интересов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В результате проведенных проверочных мероприятий, в 2025 году выявлены факты несоблюдения установленных ограничений и запретов, а также требований по предотвращению или урегулированию конфликта интересов 5 служащими. К дисциплинарной ответственности привлечены 2 служащих.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Всего за совершение коррупционных правонарушений в 2025 году                            к дисциплинарной ответственности привлечены 77 служащих органов государственной власти и органов местного самоуправления.</w:t>
      </w:r>
    </w:p>
    <w:p w:rsidR="00830E1F" w:rsidRDefault="00F2294E">
      <w:pPr>
        <w:spacing w:after="0"/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В 2025 году для включения в реестр лиц, уволенных в связи с утратой доверия, направлены сведения в отношении 22 лиц </w:t>
      </w:r>
      <w:r>
        <w:rPr>
          <w:szCs w:val="28"/>
        </w:rPr>
        <w:t>(13 – лиц, замещающих муниципальную должность Оренбургской области, 2 – муниципальных служащих, 1 – государственный гражданский служащий, 1 – директор государственного учреждения, 5 – руководителей муниципальных учреждений)</w:t>
      </w:r>
      <w:r>
        <w:rPr>
          <w:color w:val="000000" w:themeColor="text1"/>
          <w:szCs w:val="28"/>
        </w:rPr>
        <w:t>.</w:t>
      </w:r>
    </w:p>
    <w:p w:rsidR="00830E1F" w:rsidRDefault="00830E1F">
      <w:pPr>
        <w:spacing w:after="0"/>
        <w:jc w:val="center"/>
        <w:rPr>
          <w:b/>
          <w:bCs/>
          <w:color w:val="000000" w:themeColor="text1"/>
          <w:sz w:val="32"/>
          <w:szCs w:val="32"/>
        </w:rPr>
      </w:pPr>
    </w:p>
    <w:p w:rsidR="00830E1F" w:rsidRDefault="00F2294E">
      <w:pPr>
        <w:spacing w:after="0"/>
        <w:jc w:val="center"/>
        <w:rPr>
          <w:b/>
          <w:bCs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3. Реализации антикоррупционных программ</w:t>
      </w:r>
    </w:p>
    <w:p w:rsidR="00830E1F" w:rsidRDefault="00830E1F">
      <w:pPr>
        <w:spacing w:after="0"/>
        <w:ind w:firstLine="709"/>
        <w:jc w:val="both"/>
        <w:rPr>
          <w:color w:val="000000" w:themeColor="text1"/>
        </w:rPr>
      </w:pPr>
    </w:p>
    <w:p w:rsidR="00830E1F" w:rsidRDefault="00F2294E">
      <w:pPr>
        <w:spacing w:after="0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Региональная программа противодействия коррупции </w:t>
      </w:r>
    </w:p>
    <w:p w:rsidR="00830E1F" w:rsidRDefault="00F2294E">
      <w:pPr>
        <w:spacing w:after="0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в Оренбургской области на 2025–2029 годы</w:t>
      </w:r>
    </w:p>
    <w:p w:rsidR="00830E1F" w:rsidRDefault="00830E1F">
      <w:pPr>
        <w:spacing w:after="0"/>
        <w:ind w:firstLine="709"/>
        <w:jc w:val="both"/>
        <w:rPr>
          <w:color w:val="000000" w:themeColor="text1"/>
        </w:rPr>
      </w:pPr>
    </w:p>
    <w:p w:rsidR="00830E1F" w:rsidRDefault="00F2294E">
      <w:pPr>
        <w:spacing w:after="0"/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На территории региона реализуется региональная программа противодействия коррупции в Оренбургской области на 2025–2029 годы (далее – программа), утвержденная постановлением Правительства Оренбургской области от 13 февраля 2025 года № 138-пп.</w:t>
      </w:r>
    </w:p>
    <w:p w:rsidR="00830E1F" w:rsidRDefault="00F2294E">
      <w:pPr>
        <w:spacing w:after="0"/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Программа представляет собой комплекс мероприятий, обеспечивающих согласованное применение правовых, образовательных, воспитательных, организационных и иных мер, осуществляемых исполнительными органами           и органами местного самоуправления. Основными целями программы являются:</w:t>
      </w:r>
    </w:p>
    <w:p w:rsidR="00830E1F" w:rsidRDefault="00F2294E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повышение эффективности действующей системы профилактики коррупционных правонарушений;</w:t>
      </w:r>
    </w:p>
    <w:p w:rsidR="00830E1F" w:rsidRDefault="00F2294E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выявление и устранение причин коррупционных проявлений, создание условий, препятствующих коррупции;</w:t>
      </w:r>
    </w:p>
    <w:p w:rsidR="00830E1F" w:rsidRDefault="00F2294E">
      <w:pPr>
        <w:pStyle w:val="ConsPlusNormal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создание в обществе атмосферы нетерпимости к коррупционным проя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>влениям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30E1F" w:rsidRDefault="00F2294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повышение эффективности взаимодействия исполнительных органов Оренбургской области, органов местного самоуправления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городских округов, муниципальных округов и муниципальных районов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Оренбургской области, институтов гражданского общества и граждан в сфере противодействия коррупции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30E1F" w:rsidRDefault="00F2294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Задачами программы являются:</w:t>
      </w:r>
    </w:p>
    <w:p w:rsidR="00830E1F" w:rsidRDefault="00F2294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совершенствование правовых и организационных основ противодействия коррупции;</w:t>
      </w:r>
    </w:p>
    <w:p w:rsidR="00830E1F" w:rsidRDefault="00F2294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реализация механизма контроля за соблюдением лицами, замещающими государственные и муниципальные должности Оренбургской области, государственными гражданскими и муниципальными служащими Оренбургской области, руководителями государственных и муниципальных учреждений Оренбургской области запретов, ограничений и требований, установленных         в целях противодействия коррупции;</w:t>
      </w:r>
    </w:p>
    <w:p w:rsidR="00830E1F" w:rsidRDefault="00F2294E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повышение эффективности просветительских, образовательных и иных мероприятий, направленных на формирование антикоррупционного поведения лиц, замещающих государственные и муниципальные должности Оренбургской области, государственных гражданских и муниципальных служащих Оренбургской области, руководителей государственных и муниципальных учреждений Оренбургской области, популяризацию в обществе антикоррупционных стандартов и развитие общественного правосознания;</w:t>
      </w:r>
    </w:p>
    <w:p w:rsidR="00830E1F" w:rsidRDefault="00F2294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Arial" w:hAnsi="Times New Roman" w:cs="Times New Roman"/>
          <w:color w:val="000000" w:themeColor="text1"/>
          <w:sz w:val="28"/>
          <w:szCs w:val="28"/>
          <w:highlight w:val="white"/>
        </w:rPr>
        <w:t>совершенствование мер по противодействию коррупции в сфере закупок товаров, работ, услуг для обеспечения государственных или муниципальных нужд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30E1F" w:rsidRDefault="00F2294E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антикоррупционное обучение государственных гражданских                         и муниципальных служащих Оренбургской области;</w:t>
      </w:r>
    </w:p>
    <w:p w:rsidR="00830E1F" w:rsidRDefault="00F2294E">
      <w:pPr>
        <w:pStyle w:val="ConsPlusNormal"/>
        <w:tabs>
          <w:tab w:val="right" w:pos="6650"/>
        </w:tabs>
        <w:spacing w:line="276" w:lineRule="auto"/>
        <w:ind w:firstLine="7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повышение эффективности взаимодействия исполнительных органов Оренбургской области, органов местного самоуправления городских округов, муниципальных округов и муниципальных районов Оренбургской области с институтами гражданского общества при реализации мероприятий по противодействию коррупции, в том числе с </w:t>
      </w:r>
      <w:r>
        <w:rPr>
          <w:rFonts w:ascii="Times New Roman" w:hAnsi="Times New Roman" w:cs="Times New Roman"/>
          <w:iCs/>
          <w:color w:val="252525"/>
          <w:sz w:val="28"/>
          <w:szCs w:val="28"/>
        </w:rPr>
        <w:t xml:space="preserve">организациями, </w:t>
      </w:r>
      <w:r>
        <w:rPr>
          <w:rFonts w:ascii="Times New Roman" w:hAnsi="Times New Roman" w:cs="Times New Roman"/>
          <w:bCs/>
          <w:sz w:val="28"/>
          <w:szCs w:val="28"/>
        </w:rPr>
        <w:t>в уставные задачи которых включена профилактика коррупционных правонарушений.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Участниками и исполнителями программы являются все </w:t>
      </w:r>
      <w:r>
        <w:rPr>
          <w:color w:val="000000" w:themeColor="text1"/>
          <w:szCs w:val="28"/>
        </w:rPr>
        <w:t>исполнительные органы Оренбургской области, органы местного самоуправления городских округов, муниципальных округов и муниципальных районов Оренбургской области</w:t>
      </w:r>
      <w:r>
        <w:rPr>
          <w:color w:val="000000" w:themeColor="text1"/>
        </w:rPr>
        <w:t>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Контроль за реализацией программы осуществляется комитетом. Формами контроля является мониторинг представляемых исполнительными органами     и органами местного самоуправления сведений о результатах проведенной работы, изучение фактического положения дел в ходе выездов на места, проведение заслушиваний руководителей на заседаниях комиссии по координации работы по противодействию коррупции в Оренбургской области.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Оценка эффективности программы осуществляется по итогам </w:t>
      </w:r>
      <w:r>
        <w:rPr>
          <w:color w:val="000000" w:themeColor="text1"/>
        </w:rPr>
        <w:br/>
        <w:t>ее реализации за полугодие и год на основании мониторинга 14 показателей (индикаторов) программы с представлением отчета Губернатору Оренбургской области.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План реализации Программы состоит из 9 разделов, включающих                            56 мероприятий по нормативно-правовому регулированию антикоррупционной деятельности, антикоррупционной экспертизе, организационно-управленческим мерам, мониторингу антикоррупционных факторов, антикоррупционному просвещению и ряду других направлений.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Анализ результатов реализации Программы показал, что в 2025 году проведены все запланированные заседания комиссии по координации работы                по противодействию коррупции в Оренбургской области. Значение показателя (индикатора) Программы по доле проведенных заседаний комиссии по итогам деятельности за 2025 год составляет 100%.</w:t>
      </w:r>
    </w:p>
    <w:p w:rsidR="00830E1F" w:rsidRDefault="00F2294E">
      <w:pPr>
        <w:keepNext/>
        <w:widowControl w:val="0"/>
        <w:spacing w:after="0"/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В соответствии с пунктом 2 сведений о показателях (индикаторах) Программы и их значениях (приложение № 2 к Программе) доля исполнительных органов Оренбургской области, органов местного самоуправления Оренбургской области, принявших антикоррупционные программы, направленные на предупреждение и пресечение коррупции, в общем количестве исполнительных органов Оренбургской области, органов местного самоуправления Оренбургской области в отчетном периоде составила 100%, при установленном показателе в целом за 2025 год – 100%.</w:t>
      </w:r>
    </w:p>
    <w:p w:rsidR="00830E1F" w:rsidRDefault="00F2294E">
      <w:pPr>
        <w:keepNext/>
        <w:widowControl w:val="0"/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  <w:szCs w:val="28"/>
        </w:rPr>
        <w:t>Антикоррупционные программы (планы) приняты во всех исполнительных органах Оренбургской области и органах местного самоуправления Оренбургской области.</w:t>
      </w:r>
    </w:p>
    <w:p w:rsidR="00830E1F" w:rsidRDefault="00F2294E">
      <w:pPr>
        <w:keepNext/>
        <w:widowControl w:val="0"/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  <w:szCs w:val="28"/>
        </w:rPr>
        <w:t>В соответствии с пунктом 3 сведений о показателях (индикаторах) Программы и их значениях (приложение № 2 к Программе) деятельность всех исполнительных органов Оренбургской области, органов местного самоуправления городских округов, муниципальных округов и муниципальных районов Оренбургской области по итогам проведения мониторинга признана удовлетворительной (департамент Оренбургской области по ценам                             и регулированию тарифов; инспекция государственной охраны объектов культурного наследия Оренбургской области; министерство архитектуры                 и пространственно-градостроительного развития Оренбургской области; комитет по обеспечению деятельности мировых судей Оренбургской области; муниципальное образование Сакмарский район, муниципальное образование Курманаевский район; муниципальное образование Тоцкий район; муниципальное образование Бузулукский район; муниципальное образование город Новотроицк; муниципальное образование Шарлыкский район; муниципальное образование Бугурусланский район; муниципальное образование Саракташский район).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Анализ показателей (индикаторов) Программы </w:t>
      </w:r>
      <w:r>
        <w:rPr>
          <w:color w:val="000000" w:themeColor="text1"/>
          <w:szCs w:val="28"/>
        </w:rPr>
        <w:t>по итогам деятельности              за 2025 год</w:t>
      </w:r>
      <w:r>
        <w:rPr>
          <w:color w:val="000000" w:themeColor="text1"/>
        </w:rPr>
        <w:t xml:space="preserve"> показал положительную оценку</w:t>
      </w:r>
      <w:r>
        <w:rPr>
          <w:color w:val="000000" w:themeColor="text1"/>
          <w:szCs w:val="28"/>
        </w:rPr>
        <w:t xml:space="preserve"> деятельность по:</w:t>
      </w:r>
    </w:p>
    <w:p w:rsidR="00830E1F" w:rsidRDefault="00F2294E">
      <w:pPr>
        <w:shd w:val="clear" w:color="FFFFFF" w:fill="FFFFFF"/>
        <w:spacing w:after="0"/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числу лиц, замещающих государственные (муниципальные) должности Оренбургской области, должности государственной гражданской (муниципальной) службы, допустивших коррупционные правонарушения, не относящиеся к категории «несущественные проступки»;</w:t>
      </w:r>
    </w:p>
    <w:p w:rsidR="00830E1F" w:rsidRDefault="00F2294E">
      <w:pPr>
        <w:keepNext/>
        <w:widowControl w:val="0"/>
        <w:spacing w:after="0"/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доли нормативных правовых актов и их проектов, разработанных исполнительными органами Оренбургской области, органами местного самоуправления городских округов, муниципальных округов и муниципальных районов Оренбургской области, в отношении которых проведена независимая антикоррупционная экспертиза, в общем количестве таких нормативных правовых актов и их проектов;</w:t>
      </w:r>
    </w:p>
    <w:p w:rsidR="00830E1F" w:rsidRDefault="00F2294E">
      <w:pPr>
        <w:keepNext/>
        <w:widowControl w:val="0"/>
        <w:spacing w:after="0"/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числу служащих, получивших дополнительное профессиональное образование по вопросам противодействия коррупции;</w:t>
      </w:r>
    </w:p>
    <w:p w:rsidR="00830E1F" w:rsidRDefault="00F2294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числу государственных гражданских и муниципальных служащих Оренбургской области, руководителей и иных должностных лиц подведомственных исполнительным органам Оренбургской области, органам местного самоуправления городских округов, муниципальных округов и муниципальных районов Оренбургской области учреждений, принявших участие в мероприятиях антикоррупционной направленности;</w:t>
      </w:r>
    </w:p>
    <w:p w:rsidR="00830E1F" w:rsidRDefault="00F2294E">
      <w:pPr>
        <w:keepNext/>
        <w:widowControl w:val="0"/>
        <w:spacing w:after="0"/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количеству мероприятий, проведенных исполнительными органами Оренбургской области, органами местного самоуправления городских округов, муниципальных округов и муниципальных районов Оренбургской области по актуальным вопросам противодействия коррупции;</w:t>
      </w:r>
    </w:p>
    <w:p w:rsidR="00830E1F" w:rsidRDefault="00F2294E">
      <w:pPr>
        <w:keepNext/>
        <w:widowControl w:val="0"/>
        <w:spacing w:after="0"/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число лиц, замещающих государственные (муниципальные) должности Оренбургской области, должности государственной гражданской (муниципальной) службы, принявших участие в мероприятиях по оценке уровня правовой грамотности;</w:t>
      </w:r>
    </w:p>
    <w:p w:rsidR="00830E1F" w:rsidRDefault="00F2294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количеству публикаций, размещенных в печатных средствах массовой информации, вышедших телевизионных сюжетов и радиоэфиров по вопросам профилактики коррупционных правонарушений.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Мониторинг сведений об исполнении плана реализации Программы (приложение № 2 к отчету) за 2025 год показывает, что неисполненных мероприятий не имеется.</w:t>
      </w:r>
    </w:p>
    <w:p w:rsidR="00830E1F" w:rsidRDefault="00830E1F">
      <w:pPr>
        <w:spacing w:after="0"/>
        <w:jc w:val="center"/>
        <w:rPr>
          <w:b/>
          <w:bCs/>
          <w:color w:val="000000" w:themeColor="text1"/>
        </w:rPr>
      </w:pPr>
    </w:p>
    <w:p w:rsidR="00830E1F" w:rsidRDefault="00F2294E">
      <w:pPr>
        <w:spacing w:after="0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Антикоррупционное просвещение и образование.</w:t>
      </w:r>
    </w:p>
    <w:p w:rsidR="00830E1F" w:rsidRDefault="00F2294E">
      <w:pPr>
        <w:spacing w:after="0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Взаимодействие с институтами гражданского общества</w:t>
      </w:r>
    </w:p>
    <w:p w:rsidR="00830E1F" w:rsidRDefault="00830E1F">
      <w:pPr>
        <w:spacing w:after="0"/>
        <w:ind w:firstLine="709"/>
        <w:jc w:val="both"/>
        <w:rPr>
          <w:color w:val="000000" w:themeColor="text1"/>
        </w:rPr>
      </w:pP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Особое внимание уделяется повышению уровня профессиональной подготовки государственных (муниципальных) служащих, а также лиц, осуществляющих функции по профилактике коррупционных правонарушений.</w:t>
      </w:r>
    </w:p>
    <w:p w:rsidR="00830E1F" w:rsidRDefault="00F2294E">
      <w:pPr>
        <w:spacing w:after="0"/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Всего в органах государственной власти и органах местного самоуправления проведено 2 580 мероприятий антикоррупционной направленности. Обучение прошло 482 служащих исполнительных органов               и органов местного самоуправления.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  <w:szCs w:val="28"/>
        </w:rPr>
        <w:t>В рамках приоритетного проекта «Профессиональное развитие государственных гражданских и муниципальных служащих Оренбургской области» в 2025 году обучение прошли 79 государственных гражданских                                Оренбургской области по программе «Основы государственной гражданской службы в Российской Федерации».</w:t>
      </w:r>
    </w:p>
    <w:p w:rsidR="00830E1F" w:rsidRDefault="00F2294E">
      <w:pPr>
        <w:spacing w:after="0"/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В декабре 2025 года проведен антикоррупционный форум: «Актуальные вопросы в сфере противодействия коррупции». В работе форума приняли участие более 80 представителей исполнительных органов, органов местного самоуправления муниципальных образований, прокуратуры Оренбургской области. Также в работе форума принял участие представитель </w:t>
      </w:r>
      <w:r>
        <w:rPr>
          <w:rFonts w:eastAsia="Arial"/>
          <w:color w:val="000000" w:themeColor="text1"/>
          <w:szCs w:val="28"/>
          <w:highlight w:val="white"/>
        </w:rPr>
        <w:t>Оренбургского регионального отделения Общероссийской общественной организации «Центр противодействия коррупции в органах государственной власти»</w:t>
      </w:r>
      <w:r>
        <w:rPr>
          <w:color w:val="000000" w:themeColor="text1"/>
          <w:szCs w:val="28"/>
        </w:rPr>
        <w:t>.</w:t>
      </w:r>
    </w:p>
    <w:p w:rsidR="00830E1F" w:rsidRDefault="00F2294E">
      <w:pPr>
        <w:pStyle w:val="af6"/>
        <w:spacing w:after="0"/>
        <w:ind w:left="0"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На территории Оренбургской области проведены творческий конкурс в сфере противодействия коррупции в следующих номинациях – «Лучший видеоролик», «Лучший плакат», «Лучший рисунок»; творческий конкурс </w:t>
      </w:r>
      <w:r>
        <w:rPr>
          <w:color w:val="000000" w:themeColor="text1"/>
        </w:rPr>
        <w:t>«Коррупция глазами ребенка»;</w:t>
      </w:r>
      <w:r>
        <w:rPr>
          <w:color w:val="000000" w:themeColor="text1"/>
          <w:szCs w:val="28"/>
        </w:rPr>
        <w:t xml:space="preserve"> </w:t>
      </w:r>
      <w:r>
        <w:t xml:space="preserve">детский конкурс социальной антикоррупционной рекламы «Чистые руки»; творческий конкурса-игра КВН «Дайте дорогу честному смеху!»; конкурс «Мы против коррупции»; </w:t>
      </w:r>
      <w:r>
        <w:rPr>
          <w:color w:val="000000" w:themeColor="text1"/>
          <w:szCs w:val="28"/>
        </w:rPr>
        <w:t xml:space="preserve">конкурсы детских рисунков «Я против коррупции!», </w:t>
      </w:r>
      <w:r>
        <w:rPr>
          <w:color w:val="000000" w:themeColor="text1"/>
        </w:rPr>
        <w:t xml:space="preserve">«Коррупция глазами детей», «Скажем коррупции НЕТ!», </w:t>
      </w:r>
      <w:r>
        <w:t>«Вместе против коррупции»</w:t>
      </w:r>
      <w:r>
        <w:rPr>
          <w:color w:val="000000" w:themeColor="text1"/>
          <w:szCs w:val="28"/>
        </w:rPr>
        <w:t>. Среди студентов учебных заведений Оренбургской области проведен конкурс антикоррупционных плакатов.</w:t>
      </w:r>
    </w:p>
    <w:p w:rsidR="00830E1F" w:rsidRDefault="00830E1F">
      <w:pPr>
        <w:spacing w:after="0"/>
        <w:ind w:firstLine="709"/>
        <w:jc w:val="both"/>
        <w:rPr>
          <w:color w:val="000000" w:themeColor="text1"/>
        </w:rPr>
      </w:pPr>
    </w:p>
    <w:p w:rsidR="00830E1F" w:rsidRDefault="00F2294E">
      <w:pPr>
        <w:spacing w:after="0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Социологическое исследование мнения населения </w:t>
      </w:r>
    </w:p>
    <w:p w:rsidR="00830E1F" w:rsidRDefault="00F2294E">
      <w:pPr>
        <w:spacing w:after="0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Оренбургской области о коррупции</w:t>
      </w:r>
    </w:p>
    <w:p w:rsidR="00830E1F" w:rsidRDefault="00830E1F">
      <w:pPr>
        <w:spacing w:after="0"/>
        <w:ind w:firstLine="709"/>
        <w:jc w:val="both"/>
        <w:rPr>
          <w:color w:val="000000" w:themeColor="text1"/>
        </w:rPr>
      </w:pP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В 2025 году проведено социологическое исследование (далее – исследование), целью которого является оценка уровня, структуры и специфики коррупции в Оренбургской области и эффективности принимаемых антикоррупционных мер, а также изучение и обобщение результатов опросов   в соответствии с методикой проведения социологических исследований в целях оценки уровня коррупции в субъектах Российской Федерации, утвержденной постановлением Правительства Российской Федерации от 25 мая 2019 года               № 662 «Об утверждении методики проведения социологических исследований в целях оценки уровня коррупции в субъектах Российской Федерации».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В рамках проведенного исследования опрошено 800 респондентов (600 жителей региона, </w:t>
      </w:r>
      <w:r>
        <w:rPr>
          <w:color w:val="000000" w:themeColor="text1"/>
          <w:szCs w:val="28"/>
        </w:rPr>
        <w:t>200 представителей бизнес-сообщества</w:t>
      </w:r>
      <w:r>
        <w:rPr>
          <w:color w:val="000000" w:themeColor="text1"/>
        </w:rPr>
        <w:t>).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Важным компонентом, определяющим общее восприятие гражданами степени коррумпированности органов власти, является уровень информированности населения о проблемах коррупции и мерах, которые власти принимают для противодействия коррупции.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В ходе исследования установлено, что 25% респондентов ничего                   не знают о мерах по противодействию коррупции. Вместе с тем, 66,9% опрошенных так или иначе получают информацию о мерах, предпринимаемым властями,</w:t>
      </w:r>
      <w:r>
        <w:rPr>
          <w:color w:val="00B0F0"/>
        </w:rPr>
        <w:t xml:space="preserve"> </w:t>
      </w:r>
      <w:r>
        <w:rPr>
          <w:color w:val="000000" w:themeColor="text1"/>
        </w:rPr>
        <w:t>из них 8,7% постоянно следят за новостями, 24,2% – специально             не следят и 34% плохо информированы.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Анализ отношения представителей различных социальных слоев населения Оренбургской области к «бытовой коррупции», как к явлению, позволяет сделать ряд выводов: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осуждают и тех, кто дает взятки, и тех, кто их берет </w:t>
      </w:r>
      <w:r>
        <w:rPr>
          <w:color w:val="000000" w:themeColor="text1"/>
          <w:szCs w:val="28"/>
        </w:rPr>
        <w:t>– 41,7%</w:t>
      </w:r>
      <w:r>
        <w:rPr>
          <w:color w:val="000000" w:themeColor="text1"/>
        </w:rPr>
        <w:t>;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не осуждают ни тех, кто дает взятки, ни тех, кто их берет </w:t>
      </w:r>
      <w:r>
        <w:rPr>
          <w:color w:val="000000" w:themeColor="text1"/>
          <w:szCs w:val="28"/>
        </w:rPr>
        <w:t>– 24,7%</w:t>
      </w:r>
      <w:r>
        <w:rPr>
          <w:color w:val="000000" w:themeColor="text1"/>
        </w:rPr>
        <w:t>;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не осуждают тех, кто дает взятки; осуждают тех, кто их берет</w:t>
      </w:r>
      <w:r>
        <w:rPr>
          <w:color w:val="000000" w:themeColor="text1"/>
          <w:szCs w:val="28"/>
        </w:rPr>
        <w:t xml:space="preserve"> – 21,2%</w:t>
      </w:r>
      <w:r>
        <w:rPr>
          <w:color w:val="000000" w:themeColor="text1"/>
        </w:rPr>
        <w:t>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С целью оценки динамики «бытовой коррупции» </w:t>
      </w:r>
      <w:r>
        <w:rPr>
          <w:color w:val="000000" w:themeColor="text1"/>
          <w:szCs w:val="28"/>
        </w:rPr>
        <w:t>и эффективности принимаемых антикоррупционных мер в Оренбургской области,</w:t>
      </w:r>
      <w:r>
        <w:rPr>
          <w:color w:val="000000" w:themeColor="text1"/>
        </w:rPr>
        <w:t xml:space="preserve"> респондентам было предложено в целом оценить уровень коррупции в регионе. Р</w:t>
      </w:r>
      <w:r>
        <w:rPr>
          <w:color w:val="000000" w:themeColor="text1"/>
          <w:szCs w:val="28"/>
        </w:rPr>
        <w:t>езультаты опроса показали</w:t>
      </w:r>
      <w:r>
        <w:rPr>
          <w:color w:val="000000" w:themeColor="text1"/>
        </w:rPr>
        <w:t>, что: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35,5% респондентов считают, что уровень коррупции не изменился;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10,5% респондентов считают, что уровень коррупции снизился;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10,8% респондентов считают, что уровень коррупции возрос;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43,2% респондентов затрудняются ответить.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В ходе опроса респондентам было предложено оценить эффективность </w:t>
      </w:r>
      <w:r>
        <w:rPr>
          <w:color w:val="000000" w:themeColor="text1"/>
          <w:szCs w:val="28"/>
        </w:rPr>
        <w:t>принимаемых антикоррупционных мер в Оренбургской области</w:t>
      </w:r>
      <w:r>
        <w:rPr>
          <w:color w:val="000000" w:themeColor="text1"/>
        </w:rPr>
        <w:t>. В результате установлено: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11,6% опрошенных считают, что власти делают много                                                 для противодействия коррупции;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9% опрошенных считают, что власти делают все возможное                              для противодействия коррупции;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38,9% опрошенных считают, что власти делают мало для противодействия коррупции;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20,6% считают, что власти ничего не делают для противодействия коррупции в регионе.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19,9% респондентов затрудняются ответить.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Большая часть респондентов (52,3%) полностью удовлетворена результатом обращения в государственные и муниципальные учреждения; 27% частично удовлетворены; 16,9% не удовлетворены и 3,8% опрошенных затрудняются ответить на данный вопрос.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Наибольшее число коррупционных ситуаций по мнению опрошенных возникало при получении бесплатной медицинской помощи в поликлиниках                    и больницах (29,2%), урегулировании ситуации с автоинспекцией (12,5%), урегулировании различных вопросов в ВУЗе (10,4%), 18,5% опрошенных затрудняются ответить на поставленный вопрос.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В рамках анализа уровня «деловой коррупции» в Оренбургской области                в опросе приняли участие представители бизнес-сообщества региона. Исследование показало, что 44% представителей бизнеса региона </w:t>
      </w:r>
      <w:r>
        <w:rPr>
          <w:color w:val="000000" w:themeColor="text1"/>
          <w:szCs w:val="28"/>
        </w:rPr>
        <w:t>считает, что коррупция мешает их организации работать на рынке</w:t>
      </w:r>
      <w:r>
        <w:rPr>
          <w:color w:val="000000" w:themeColor="text1"/>
        </w:rPr>
        <w:t>.</w:t>
      </w:r>
    </w:p>
    <w:p w:rsidR="00830E1F" w:rsidRDefault="00F2294E">
      <w:pPr>
        <w:spacing w:after="0"/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Чаще всего представители бизнеса прибегают к взяткам, чтобы ускорить получение необходимых документов (18,1%), для обхода невыполнимых (противоречивых) требований законодательства (13,1%) или обременительных  требований для организации (10,6%). По мнению бизнес-сообщества, случаев взяточничества больше на федеральном уровне (это отметили 25,5% опрошенных), чем на региональном или муниципальном уровнях (6,5% и 18,5%, соответственно).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Результаты проведенного исследования и их сравнительный анализ будут рассмотрены на заседании комиссии по координации в 1 квартале 2026 года,      с выработкой мер для повышения эффективности проводимых антикоррупционных мероприятий.</w:t>
      </w:r>
    </w:p>
    <w:p w:rsidR="00830E1F" w:rsidRDefault="00830E1F">
      <w:pPr>
        <w:spacing w:after="0"/>
        <w:jc w:val="center"/>
        <w:rPr>
          <w:b/>
          <w:bCs/>
          <w:color w:val="000000" w:themeColor="text1"/>
        </w:rPr>
      </w:pPr>
    </w:p>
    <w:p w:rsidR="00830E1F" w:rsidRDefault="00F2294E">
      <w:pPr>
        <w:spacing w:after="0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Выводы и рекомендации на 2026 год</w:t>
      </w:r>
    </w:p>
    <w:p w:rsidR="00830E1F" w:rsidRDefault="00830E1F">
      <w:pPr>
        <w:spacing w:after="0"/>
        <w:ind w:firstLine="709"/>
        <w:jc w:val="both"/>
        <w:rPr>
          <w:color w:val="000000" w:themeColor="text1"/>
        </w:rPr>
      </w:pP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В Оренбургской области выстроена система по координации антикоррупционной деятельности в исполнительных органах и органах местного самоуправления. Образованы комиссии по противодействию коррупции, определены должностные лица, ответственные за профилактику коррупционных и иных правонарушений, функционируют комиссии по соблюдению требований к служебному поведению служащих.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В регионе реализуется комплекс организационных и практических мер, направленных на профилактику коррупции. Совершенствуется нормотворческая и правоприменительная работа как на региональном, так и на местном уровнях власти.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Отмечается повышение роли институтов гражданского общества </w:t>
      </w:r>
      <w:r>
        <w:rPr>
          <w:color w:val="000000" w:themeColor="text1"/>
        </w:rPr>
        <w:br/>
        <w:t>в антикоррупционной деятельности. Представители общественности включены в составы антикоррупционных комиссий и комиссий по соблюдению требований к служебному поведению служащих в органах публичной власти региона.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Одним из ключевых элементов профилактики коррупции является повышение правовой грамотности у населения. В этих целях реализуется цикл просветительских мероприятий, проводится повышение квалификации служащих по вопросам соблюдения антикоррупционного законодательства. Соответствующая информация размещается на официальных сайтах исполнительных органов и органов местного самоуправления региона.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В целях повышения эффективности проводимых профилактических мероприятий в 2026 году целесообразно: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осуществлять дальнейшее взаимодействие и координацию региональных органов власти с правоохранительными органами в сфере соблюдения служащими запретов, ограничений и обязанностей, установленных в целях противодействия коррупции;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усилить координацию деятельности исполнительных органов Оренбургской области и органов местного самоуправления Оренбургской области по предупреждению коррупции в подведомственных организациях           и учреждениях;</w:t>
      </w:r>
    </w:p>
    <w:p w:rsidR="00830E1F" w:rsidRDefault="00F2294E">
      <w:pPr>
        <w:pBdr>
          <w:top w:val="single" w:sz="4" w:space="0" w:color="FFFFFF"/>
          <w:left w:val="single" w:sz="4" w:space="0" w:color="FFFFFF"/>
          <w:bottom w:val="single" w:sz="4" w:space="0" w:color="FFFFFF"/>
          <w:right w:val="single" w:sz="4" w:space="3" w:color="FFFFFF"/>
        </w:pBdr>
        <w:spacing w:after="0"/>
        <w:ind w:firstLine="709"/>
        <w:contextualSpacing/>
        <w:jc w:val="both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  <w:szCs w:val="28"/>
        </w:rPr>
        <w:t>продолжить работу по профилактике (урегулированию) возможного конфликта интересов у лиц, замещающих должности, связанные                                              с коррупционными рисками;</w:t>
      </w:r>
    </w:p>
    <w:p w:rsidR="00830E1F" w:rsidRDefault="00F2294E">
      <w:pPr>
        <w:spacing w:after="0"/>
        <w:ind w:firstLine="709"/>
        <w:jc w:val="both"/>
        <w:rPr>
          <w:color w:val="000000" w:themeColor="text1"/>
        </w:rPr>
      </w:pPr>
      <w:r>
        <w:rPr>
          <w:rFonts w:eastAsia="Calibri"/>
          <w:color w:val="000000" w:themeColor="text1"/>
          <w:szCs w:val="28"/>
        </w:rPr>
        <w:t xml:space="preserve">совершенствовать работу по антикоррупционному просвещению, </w:t>
      </w:r>
      <w:r>
        <w:rPr>
          <w:color w:val="000000" w:themeColor="text1"/>
        </w:rPr>
        <w:t>формированию у населения региона антикоррупционной культуры;</w:t>
      </w:r>
    </w:p>
    <w:p w:rsidR="00830E1F" w:rsidRDefault="00F2294E">
      <w:pPr>
        <w:pBdr>
          <w:top w:val="single" w:sz="4" w:space="0" w:color="FFFFFF"/>
          <w:left w:val="single" w:sz="4" w:space="0" w:color="FFFFFF"/>
          <w:bottom w:val="single" w:sz="4" w:space="0" w:color="FFFFFF"/>
          <w:right w:val="single" w:sz="4" w:space="3" w:color="FFFFFF"/>
        </w:pBdr>
        <w:spacing w:after="0"/>
        <w:ind w:firstLine="709"/>
        <w:contextualSpacing/>
        <w:jc w:val="both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 xml:space="preserve">активизировать деятельность по привлечению </w:t>
      </w:r>
      <w:r>
        <w:rPr>
          <w:color w:val="000000" w:themeColor="text1"/>
        </w:rPr>
        <w:t xml:space="preserve">независимых экспертов              для </w:t>
      </w:r>
      <w:r>
        <w:rPr>
          <w:rFonts w:eastAsia="Calibri"/>
          <w:color w:val="000000" w:themeColor="text1"/>
        </w:rPr>
        <w:t>проведения</w:t>
      </w:r>
      <w:r>
        <w:rPr>
          <w:color w:val="000000" w:themeColor="text1"/>
        </w:rPr>
        <w:t xml:space="preserve"> антикоррупционной экспертизы нормативных правовых актов  и проектов нормативных правовых актов.</w:t>
      </w:r>
    </w:p>
    <w:p w:rsidR="00830E1F" w:rsidRDefault="00830E1F">
      <w:pPr>
        <w:spacing w:after="0"/>
        <w:ind w:left="5529"/>
        <w:jc w:val="both"/>
        <w:rPr>
          <w:rFonts w:eastAsia="Calibri"/>
          <w:color w:val="000000" w:themeColor="text1"/>
        </w:rPr>
      </w:pPr>
    </w:p>
    <w:p w:rsidR="00830E1F" w:rsidRDefault="00830E1F">
      <w:pPr>
        <w:spacing w:after="0"/>
        <w:ind w:left="5529"/>
        <w:jc w:val="both"/>
        <w:rPr>
          <w:rFonts w:eastAsia="Calibri"/>
          <w:color w:val="000000" w:themeColor="text1"/>
        </w:rPr>
      </w:pPr>
    </w:p>
    <w:p w:rsidR="00830E1F" w:rsidRDefault="00F2294E">
      <w:pPr>
        <w:spacing w:after="0"/>
        <w:ind w:left="5529"/>
        <w:jc w:val="both"/>
        <w:rPr>
          <w:rFonts w:eastAsia="Calibri"/>
        </w:rPr>
      </w:pPr>
      <w:r>
        <w:rPr>
          <w:rFonts w:eastAsia="Calibri"/>
        </w:rPr>
        <w:t xml:space="preserve">Комитет по профилактике </w:t>
      </w:r>
    </w:p>
    <w:p w:rsidR="00830E1F" w:rsidRDefault="00F2294E">
      <w:pPr>
        <w:spacing w:after="0"/>
        <w:ind w:left="5529"/>
        <w:jc w:val="both"/>
        <w:rPr>
          <w:rFonts w:eastAsia="Calibri"/>
        </w:rPr>
      </w:pPr>
      <w:r>
        <w:rPr>
          <w:rFonts w:eastAsia="Calibri"/>
        </w:rPr>
        <w:t>коррупционных правонарушений</w:t>
      </w:r>
    </w:p>
    <w:p w:rsidR="00830E1F" w:rsidRDefault="00F2294E">
      <w:pPr>
        <w:spacing w:after="0"/>
        <w:ind w:left="5529"/>
        <w:jc w:val="both"/>
        <w:rPr>
          <w:rFonts w:eastAsia="Calibri"/>
        </w:rPr>
      </w:pPr>
      <w:r>
        <w:rPr>
          <w:rFonts w:eastAsia="Calibri"/>
        </w:rPr>
        <w:t>Оренбургской области</w:t>
      </w:r>
    </w:p>
    <w:sectPr w:rsidR="00830E1F">
      <w:headerReference w:type="default" r:id="rId1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0E1F" w:rsidRDefault="00F2294E">
      <w:pPr>
        <w:spacing w:after="0" w:line="240" w:lineRule="auto"/>
      </w:pPr>
      <w:r>
        <w:separator/>
      </w:r>
    </w:p>
  </w:endnote>
  <w:endnote w:type="continuationSeparator" w:id="0">
    <w:p w:rsidR="00830E1F" w:rsidRDefault="00F22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auto"/>
    <w:pitch w:val="default"/>
  </w:font>
  <w:font w:name="Tahoma">
    <w:panose1 w:val="020B0604030504040204"/>
    <w:charset w:val="00"/>
    <w:family w:val="auto"/>
    <w:pitch w:val="default"/>
  </w:font>
  <w:font w:name="Times New Roman CYR">
    <w:panose1 w:val="02020603050405020304"/>
    <w:charset w:val="00"/>
    <w:family w:val="auto"/>
    <w:pitch w:val="default"/>
  </w:font>
  <w:font w:name="Verdana">
    <w:panose1 w:val="020B0604030504040204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0E1F" w:rsidRDefault="00F2294E">
      <w:pPr>
        <w:spacing w:after="0" w:line="240" w:lineRule="auto"/>
      </w:pPr>
      <w:r>
        <w:separator/>
      </w:r>
    </w:p>
  </w:footnote>
  <w:footnote w:type="continuationSeparator" w:id="0">
    <w:p w:rsidR="00830E1F" w:rsidRDefault="00F229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51229146"/>
      <w:docPartObj>
        <w:docPartGallery w:val="Page Numbers (Top of Page)"/>
        <w:docPartUnique/>
      </w:docPartObj>
    </w:sdtPr>
    <w:sdtEndPr/>
    <w:sdtContent>
      <w:p w:rsidR="00830E1F" w:rsidRDefault="00F2294E">
        <w:pPr>
          <w:pStyle w:val="afa"/>
          <w:jc w:val="center"/>
          <w:rPr>
            <w:szCs w:val="28"/>
          </w:rPr>
        </w:pP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 PAGE   \* MERGEFORMAT </w:instrText>
        </w:r>
        <w:r>
          <w:rPr>
            <w:sz w:val="24"/>
            <w:szCs w:val="24"/>
          </w:rPr>
          <w:fldChar w:fldCharType="separate"/>
        </w:r>
        <w:r w:rsidR="004601C5">
          <w:rPr>
            <w:noProof/>
            <w:sz w:val="24"/>
            <w:szCs w:val="24"/>
          </w:rPr>
          <w:t>4</w:t>
        </w:r>
        <w:r>
          <w:rPr>
            <w:sz w:val="24"/>
            <w:szCs w:val="24"/>
          </w:rPr>
          <w:fldChar w:fldCharType="end"/>
        </w:r>
      </w:p>
    </w:sdtContent>
  </w:sdt>
  <w:p w:rsidR="00830E1F" w:rsidRDefault="00830E1F">
    <w:pPr>
      <w:pStyle w:val="af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8171E"/>
    <w:multiLevelType w:val="hybridMultilevel"/>
    <w:tmpl w:val="24A8A400"/>
    <w:lvl w:ilvl="0" w:tplc="3E885EEA">
      <w:start w:val="1"/>
      <w:numFmt w:val="upperRoman"/>
      <w:lvlText w:val="%1."/>
      <w:lvlJc w:val="left"/>
      <w:pPr>
        <w:tabs>
          <w:tab w:val="num" w:pos="1571"/>
        </w:tabs>
        <w:ind w:left="1571" w:hanging="720"/>
      </w:pPr>
      <w:rPr>
        <w:rFonts w:ascii="Times New Roman" w:hAnsi="Times New Roman" w:hint="default"/>
      </w:rPr>
    </w:lvl>
    <w:lvl w:ilvl="1" w:tplc="941A157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5ACBD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3CCCC3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7E508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E0E662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FCC81B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E2E95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E7EED9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B96357"/>
    <w:multiLevelType w:val="hybridMultilevel"/>
    <w:tmpl w:val="9E54A4EC"/>
    <w:lvl w:ilvl="0" w:tplc="A010084E">
      <w:start w:val="1"/>
      <w:numFmt w:val="bullet"/>
      <w:lvlText w:val="*"/>
      <w:lvlJc w:val="left"/>
    </w:lvl>
    <w:lvl w:ilvl="1" w:tplc="0C00AAB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ECC695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9B20F3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F1ADAD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EF0485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C784D4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390460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84EAC0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213B1525"/>
    <w:multiLevelType w:val="hybridMultilevel"/>
    <w:tmpl w:val="B406D36A"/>
    <w:lvl w:ilvl="0" w:tplc="366E9CAE">
      <w:start w:val="1"/>
      <w:numFmt w:val="bullet"/>
      <w:lvlText w:val=""/>
      <w:lvlJc w:val="left"/>
      <w:pPr>
        <w:ind w:left="795" w:hanging="360"/>
      </w:pPr>
      <w:rPr>
        <w:rFonts w:ascii="Symbol" w:hAnsi="Symbol"/>
      </w:rPr>
    </w:lvl>
    <w:lvl w:ilvl="1" w:tplc="2D0C8D2A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/>
      </w:rPr>
    </w:lvl>
    <w:lvl w:ilvl="2" w:tplc="2CFAFF64">
      <w:start w:val="1"/>
      <w:numFmt w:val="bullet"/>
      <w:lvlText w:val=""/>
      <w:lvlJc w:val="left"/>
      <w:pPr>
        <w:ind w:left="2235" w:hanging="360"/>
      </w:pPr>
      <w:rPr>
        <w:rFonts w:ascii="Wingdings" w:hAnsi="Wingdings"/>
      </w:rPr>
    </w:lvl>
    <w:lvl w:ilvl="3" w:tplc="4F6EBF5E">
      <w:start w:val="1"/>
      <w:numFmt w:val="bullet"/>
      <w:lvlText w:val=""/>
      <w:lvlJc w:val="left"/>
      <w:pPr>
        <w:ind w:left="2955" w:hanging="360"/>
      </w:pPr>
      <w:rPr>
        <w:rFonts w:ascii="Symbol" w:hAnsi="Symbol"/>
      </w:rPr>
    </w:lvl>
    <w:lvl w:ilvl="4" w:tplc="0A723CA4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/>
      </w:rPr>
    </w:lvl>
    <w:lvl w:ilvl="5" w:tplc="EF02D9FC">
      <w:start w:val="1"/>
      <w:numFmt w:val="bullet"/>
      <w:lvlText w:val=""/>
      <w:lvlJc w:val="left"/>
      <w:pPr>
        <w:ind w:left="4395" w:hanging="360"/>
      </w:pPr>
      <w:rPr>
        <w:rFonts w:ascii="Wingdings" w:hAnsi="Wingdings"/>
      </w:rPr>
    </w:lvl>
    <w:lvl w:ilvl="6" w:tplc="2D5A2280">
      <w:start w:val="1"/>
      <w:numFmt w:val="bullet"/>
      <w:lvlText w:val=""/>
      <w:lvlJc w:val="left"/>
      <w:pPr>
        <w:ind w:left="5115" w:hanging="360"/>
      </w:pPr>
      <w:rPr>
        <w:rFonts w:ascii="Symbol" w:hAnsi="Symbol"/>
      </w:rPr>
    </w:lvl>
    <w:lvl w:ilvl="7" w:tplc="FED24E96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/>
      </w:rPr>
    </w:lvl>
    <w:lvl w:ilvl="8" w:tplc="68948F0E">
      <w:start w:val="1"/>
      <w:numFmt w:val="bullet"/>
      <w:lvlText w:val=""/>
      <w:lvlJc w:val="left"/>
      <w:pPr>
        <w:ind w:left="6555" w:hanging="360"/>
      </w:pPr>
      <w:rPr>
        <w:rFonts w:ascii="Wingdings" w:hAnsi="Wingdings"/>
      </w:rPr>
    </w:lvl>
  </w:abstractNum>
  <w:abstractNum w:abstractNumId="3" w15:restartNumberingAfterBreak="0">
    <w:nsid w:val="2ADC6426"/>
    <w:multiLevelType w:val="hybridMultilevel"/>
    <w:tmpl w:val="8326D70A"/>
    <w:lvl w:ilvl="0" w:tplc="5C3CDB14">
      <w:start w:val="1"/>
      <w:numFmt w:val="bullet"/>
      <w:lvlText w:val=""/>
      <w:lvlJc w:val="left"/>
      <w:pPr>
        <w:ind w:left="795" w:hanging="360"/>
      </w:pPr>
      <w:rPr>
        <w:rFonts w:ascii="Symbol" w:hAnsi="Symbol"/>
      </w:rPr>
    </w:lvl>
    <w:lvl w:ilvl="1" w:tplc="4D3C82C6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/>
      </w:rPr>
    </w:lvl>
    <w:lvl w:ilvl="2" w:tplc="49A6E3FC">
      <w:start w:val="1"/>
      <w:numFmt w:val="bullet"/>
      <w:lvlText w:val=""/>
      <w:lvlJc w:val="left"/>
      <w:pPr>
        <w:ind w:left="2235" w:hanging="360"/>
      </w:pPr>
      <w:rPr>
        <w:rFonts w:ascii="Wingdings" w:hAnsi="Wingdings"/>
      </w:rPr>
    </w:lvl>
    <w:lvl w:ilvl="3" w:tplc="BEC66374">
      <w:start w:val="1"/>
      <w:numFmt w:val="bullet"/>
      <w:lvlText w:val=""/>
      <w:lvlJc w:val="left"/>
      <w:pPr>
        <w:ind w:left="2955" w:hanging="360"/>
      </w:pPr>
      <w:rPr>
        <w:rFonts w:ascii="Symbol" w:hAnsi="Symbol"/>
      </w:rPr>
    </w:lvl>
    <w:lvl w:ilvl="4" w:tplc="C9681FEE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/>
      </w:rPr>
    </w:lvl>
    <w:lvl w:ilvl="5" w:tplc="44200330">
      <w:start w:val="1"/>
      <w:numFmt w:val="bullet"/>
      <w:lvlText w:val=""/>
      <w:lvlJc w:val="left"/>
      <w:pPr>
        <w:ind w:left="4395" w:hanging="360"/>
      </w:pPr>
      <w:rPr>
        <w:rFonts w:ascii="Wingdings" w:hAnsi="Wingdings"/>
      </w:rPr>
    </w:lvl>
    <w:lvl w:ilvl="6" w:tplc="954E6F8C">
      <w:start w:val="1"/>
      <w:numFmt w:val="bullet"/>
      <w:lvlText w:val=""/>
      <w:lvlJc w:val="left"/>
      <w:pPr>
        <w:ind w:left="5115" w:hanging="360"/>
      </w:pPr>
      <w:rPr>
        <w:rFonts w:ascii="Symbol" w:hAnsi="Symbol"/>
      </w:rPr>
    </w:lvl>
    <w:lvl w:ilvl="7" w:tplc="C4D22272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/>
      </w:rPr>
    </w:lvl>
    <w:lvl w:ilvl="8" w:tplc="DBE2092C">
      <w:start w:val="1"/>
      <w:numFmt w:val="bullet"/>
      <w:lvlText w:val=""/>
      <w:lvlJc w:val="left"/>
      <w:pPr>
        <w:ind w:left="6555" w:hanging="360"/>
      </w:pPr>
      <w:rPr>
        <w:rFonts w:ascii="Wingdings" w:hAnsi="Wingdings"/>
      </w:rPr>
    </w:lvl>
  </w:abstractNum>
  <w:abstractNum w:abstractNumId="4" w15:restartNumberingAfterBreak="0">
    <w:nsid w:val="31B5207C"/>
    <w:multiLevelType w:val="hybridMultilevel"/>
    <w:tmpl w:val="F10CE25A"/>
    <w:lvl w:ilvl="0" w:tplc="4D1C9DF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42E491EC">
      <w:start w:val="1"/>
      <w:numFmt w:val="lowerLetter"/>
      <w:lvlText w:val="%2."/>
      <w:lvlJc w:val="left"/>
      <w:pPr>
        <w:ind w:left="1364" w:hanging="360"/>
      </w:pPr>
    </w:lvl>
    <w:lvl w:ilvl="2" w:tplc="91D4E266">
      <w:start w:val="1"/>
      <w:numFmt w:val="lowerRoman"/>
      <w:lvlText w:val="%3."/>
      <w:lvlJc w:val="right"/>
      <w:pPr>
        <w:ind w:left="2084" w:hanging="180"/>
      </w:pPr>
    </w:lvl>
    <w:lvl w:ilvl="3" w:tplc="21F63F4A">
      <w:start w:val="1"/>
      <w:numFmt w:val="decimal"/>
      <w:lvlText w:val="%4."/>
      <w:lvlJc w:val="left"/>
      <w:pPr>
        <w:ind w:left="2804" w:hanging="360"/>
      </w:pPr>
    </w:lvl>
    <w:lvl w:ilvl="4" w:tplc="458EC746">
      <w:start w:val="1"/>
      <w:numFmt w:val="lowerLetter"/>
      <w:lvlText w:val="%5."/>
      <w:lvlJc w:val="left"/>
      <w:pPr>
        <w:ind w:left="3524" w:hanging="360"/>
      </w:pPr>
    </w:lvl>
    <w:lvl w:ilvl="5" w:tplc="4A9E005A">
      <w:start w:val="1"/>
      <w:numFmt w:val="lowerRoman"/>
      <w:lvlText w:val="%6."/>
      <w:lvlJc w:val="right"/>
      <w:pPr>
        <w:ind w:left="4244" w:hanging="180"/>
      </w:pPr>
    </w:lvl>
    <w:lvl w:ilvl="6" w:tplc="E826A234">
      <w:start w:val="1"/>
      <w:numFmt w:val="decimal"/>
      <w:lvlText w:val="%7."/>
      <w:lvlJc w:val="left"/>
      <w:pPr>
        <w:ind w:left="4964" w:hanging="360"/>
      </w:pPr>
    </w:lvl>
    <w:lvl w:ilvl="7" w:tplc="1BCA7C5C">
      <w:start w:val="1"/>
      <w:numFmt w:val="lowerLetter"/>
      <w:lvlText w:val="%8."/>
      <w:lvlJc w:val="left"/>
      <w:pPr>
        <w:ind w:left="5684" w:hanging="360"/>
      </w:pPr>
    </w:lvl>
    <w:lvl w:ilvl="8" w:tplc="71FC7442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A994BDE"/>
    <w:multiLevelType w:val="hybridMultilevel"/>
    <w:tmpl w:val="9D58D946"/>
    <w:lvl w:ilvl="0" w:tplc="10B8BED4">
      <w:start w:val="1"/>
      <w:numFmt w:val="decimal"/>
      <w:lvlText w:val="%1."/>
      <w:lvlJc w:val="left"/>
      <w:pPr>
        <w:ind w:left="1515" w:hanging="825"/>
      </w:pPr>
      <w:rPr>
        <w:rFonts w:hint="default"/>
      </w:rPr>
    </w:lvl>
    <w:lvl w:ilvl="1" w:tplc="712AB406">
      <w:start w:val="1"/>
      <w:numFmt w:val="lowerLetter"/>
      <w:lvlText w:val="%2."/>
      <w:lvlJc w:val="left"/>
      <w:pPr>
        <w:ind w:left="1770" w:hanging="360"/>
      </w:pPr>
    </w:lvl>
    <w:lvl w:ilvl="2" w:tplc="C686AC90">
      <w:start w:val="1"/>
      <w:numFmt w:val="lowerRoman"/>
      <w:lvlText w:val="%3."/>
      <w:lvlJc w:val="right"/>
      <w:pPr>
        <w:ind w:left="2490" w:hanging="180"/>
      </w:pPr>
    </w:lvl>
    <w:lvl w:ilvl="3" w:tplc="7CD4719C">
      <w:start w:val="1"/>
      <w:numFmt w:val="decimal"/>
      <w:lvlText w:val="%4."/>
      <w:lvlJc w:val="left"/>
      <w:pPr>
        <w:ind w:left="3210" w:hanging="360"/>
      </w:pPr>
    </w:lvl>
    <w:lvl w:ilvl="4" w:tplc="CCCC629E">
      <w:start w:val="1"/>
      <w:numFmt w:val="lowerLetter"/>
      <w:lvlText w:val="%5."/>
      <w:lvlJc w:val="left"/>
      <w:pPr>
        <w:ind w:left="3930" w:hanging="360"/>
      </w:pPr>
    </w:lvl>
    <w:lvl w:ilvl="5" w:tplc="D9008D88">
      <w:start w:val="1"/>
      <w:numFmt w:val="lowerRoman"/>
      <w:lvlText w:val="%6."/>
      <w:lvlJc w:val="right"/>
      <w:pPr>
        <w:ind w:left="4650" w:hanging="180"/>
      </w:pPr>
    </w:lvl>
    <w:lvl w:ilvl="6" w:tplc="2C4E0D1E">
      <w:start w:val="1"/>
      <w:numFmt w:val="decimal"/>
      <w:lvlText w:val="%7."/>
      <w:lvlJc w:val="left"/>
      <w:pPr>
        <w:ind w:left="5370" w:hanging="360"/>
      </w:pPr>
    </w:lvl>
    <w:lvl w:ilvl="7" w:tplc="7DF0D11E">
      <w:start w:val="1"/>
      <w:numFmt w:val="lowerLetter"/>
      <w:lvlText w:val="%8."/>
      <w:lvlJc w:val="left"/>
      <w:pPr>
        <w:ind w:left="6090" w:hanging="360"/>
      </w:pPr>
    </w:lvl>
    <w:lvl w:ilvl="8" w:tplc="EF66C560">
      <w:start w:val="1"/>
      <w:numFmt w:val="lowerRoman"/>
      <w:lvlText w:val="%9."/>
      <w:lvlJc w:val="right"/>
      <w:pPr>
        <w:ind w:left="6810" w:hanging="180"/>
      </w:pPr>
    </w:lvl>
  </w:abstractNum>
  <w:abstractNum w:abstractNumId="6" w15:restartNumberingAfterBreak="0">
    <w:nsid w:val="3E9E7074"/>
    <w:multiLevelType w:val="hybridMultilevel"/>
    <w:tmpl w:val="B2AACA10"/>
    <w:lvl w:ilvl="0" w:tplc="51AE14F6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69A429D0">
      <w:start w:val="1"/>
      <w:numFmt w:val="lowerLetter"/>
      <w:lvlText w:val="%2."/>
      <w:lvlJc w:val="left"/>
      <w:pPr>
        <w:ind w:left="1931" w:hanging="360"/>
      </w:pPr>
    </w:lvl>
    <w:lvl w:ilvl="2" w:tplc="5944FFC0">
      <w:start w:val="1"/>
      <w:numFmt w:val="lowerRoman"/>
      <w:lvlText w:val="%3."/>
      <w:lvlJc w:val="right"/>
      <w:pPr>
        <w:ind w:left="2651" w:hanging="180"/>
      </w:pPr>
    </w:lvl>
    <w:lvl w:ilvl="3" w:tplc="2DE2B350">
      <w:start w:val="1"/>
      <w:numFmt w:val="decimal"/>
      <w:lvlText w:val="%4."/>
      <w:lvlJc w:val="left"/>
      <w:pPr>
        <w:ind w:left="3371" w:hanging="360"/>
      </w:pPr>
    </w:lvl>
    <w:lvl w:ilvl="4" w:tplc="B7E45E8A">
      <w:start w:val="1"/>
      <w:numFmt w:val="lowerLetter"/>
      <w:lvlText w:val="%5."/>
      <w:lvlJc w:val="left"/>
      <w:pPr>
        <w:ind w:left="4091" w:hanging="360"/>
      </w:pPr>
    </w:lvl>
    <w:lvl w:ilvl="5" w:tplc="4BFC6DE4">
      <w:start w:val="1"/>
      <w:numFmt w:val="lowerRoman"/>
      <w:lvlText w:val="%6."/>
      <w:lvlJc w:val="right"/>
      <w:pPr>
        <w:ind w:left="4811" w:hanging="180"/>
      </w:pPr>
    </w:lvl>
    <w:lvl w:ilvl="6" w:tplc="3856C1F4">
      <w:start w:val="1"/>
      <w:numFmt w:val="decimal"/>
      <w:lvlText w:val="%7."/>
      <w:lvlJc w:val="left"/>
      <w:pPr>
        <w:ind w:left="5531" w:hanging="360"/>
      </w:pPr>
    </w:lvl>
    <w:lvl w:ilvl="7" w:tplc="6426947A">
      <w:start w:val="1"/>
      <w:numFmt w:val="lowerLetter"/>
      <w:lvlText w:val="%8."/>
      <w:lvlJc w:val="left"/>
      <w:pPr>
        <w:ind w:left="6251" w:hanging="360"/>
      </w:pPr>
    </w:lvl>
    <w:lvl w:ilvl="8" w:tplc="91EC9E14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457735A2"/>
    <w:multiLevelType w:val="hybridMultilevel"/>
    <w:tmpl w:val="A6DA7D32"/>
    <w:lvl w:ilvl="0" w:tplc="6D8E65E2">
      <w:start w:val="1"/>
      <w:numFmt w:val="bullet"/>
      <w:lvlText w:val=""/>
      <w:lvlJc w:val="left"/>
      <w:pPr>
        <w:ind w:left="795" w:hanging="360"/>
      </w:pPr>
      <w:rPr>
        <w:rFonts w:ascii="Symbol" w:hAnsi="Symbol"/>
      </w:rPr>
    </w:lvl>
    <w:lvl w:ilvl="1" w:tplc="14067750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/>
      </w:rPr>
    </w:lvl>
    <w:lvl w:ilvl="2" w:tplc="96AA81AC">
      <w:start w:val="1"/>
      <w:numFmt w:val="bullet"/>
      <w:lvlText w:val=""/>
      <w:lvlJc w:val="left"/>
      <w:pPr>
        <w:ind w:left="2235" w:hanging="360"/>
      </w:pPr>
      <w:rPr>
        <w:rFonts w:ascii="Wingdings" w:hAnsi="Wingdings"/>
      </w:rPr>
    </w:lvl>
    <w:lvl w:ilvl="3" w:tplc="1FFC83B8">
      <w:start w:val="1"/>
      <w:numFmt w:val="bullet"/>
      <w:lvlText w:val=""/>
      <w:lvlJc w:val="left"/>
      <w:pPr>
        <w:ind w:left="2955" w:hanging="360"/>
      </w:pPr>
      <w:rPr>
        <w:rFonts w:ascii="Symbol" w:hAnsi="Symbol"/>
      </w:rPr>
    </w:lvl>
    <w:lvl w:ilvl="4" w:tplc="8BB07E7A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/>
      </w:rPr>
    </w:lvl>
    <w:lvl w:ilvl="5" w:tplc="75C230C6">
      <w:start w:val="1"/>
      <w:numFmt w:val="bullet"/>
      <w:lvlText w:val=""/>
      <w:lvlJc w:val="left"/>
      <w:pPr>
        <w:ind w:left="4395" w:hanging="360"/>
      </w:pPr>
      <w:rPr>
        <w:rFonts w:ascii="Wingdings" w:hAnsi="Wingdings"/>
      </w:rPr>
    </w:lvl>
    <w:lvl w:ilvl="6" w:tplc="826E5D5C">
      <w:start w:val="1"/>
      <w:numFmt w:val="bullet"/>
      <w:lvlText w:val=""/>
      <w:lvlJc w:val="left"/>
      <w:pPr>
        <w:ind w:left="5115" w:hanging="360"/>
      </w:pPr>
      <w:rPr>
        <w:rFonts w:ascii="Symbol" w:hAnsi="Symbol"/>
      </w:rPr>
    </w:lvl>
    <w:lvl w:ilvl="7" w:tplc="2A321574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/>
      </w:rPr>
    </w:lvl>
    <w:lvl w:ilvl="8" w:tplc="8752C8E2">
      <w:start w:val="1"/>
      <w:numFmt w:val="bullet"/>
      <w:lvlText w:val=""/>
      <w:lvlJc w:val="left"/>
      <w:pPr>
        <w:ind w:left="6555" w:hanging="360"/>
      </w:pPr>
      <w:rPr>
        <w:rFonts w:ascii="Wingdings" w:hAnsi="Wingdings"/>
      </w:rPr>
    </w:lvl>
  </w:abstractNum>
  <w:abstractNum w:abstractNumId="8" w15:restartNumberingAfterBreak="0">
    <w:nsid w:val="619B4723"/>
    <w:multiLevelType w:val="hybridMultilevel"/>
    <w:tmpl w:val="AAE222EE"/>
    <w:lvl w:ilvl="0" w:tplc="5808BD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20E5E3C">
      <w:start w:val="1"/>
      <w:numFmt w:val="lowerLetter"/>
      <w:lvlText w:val="%2."/>
      <w:lvlJc w:val="left"/>
      <w:pPr>
        <w:ind w:left="1929" w:hanging="360"/>
      </w:pPr>
    </w:lvl>
    <w:lvl w:ilvl="2" w:tplc="7E9EDF9C">
      <w:start w:val="1"/>
      <w:numFmt w:val="lowerRoman"/>
      <w:lvlText w:val="%3."/>
      <w:lvlJc w:val="right"/>
      <w:pPr>
        <w:ind w:left="2649" w:hanging="180"/>
      </w:pPr>
    </w:lvl>
    <w:lvl w:ilvl="3" w:tplc="13F4B700">
      <w:start w:val="1"/>
      <w:numFmt w:val="decimal"/>
      <w:lvlText w:val="%4."/>
      <w:lvlJc w:val="left"/>
      <w:pPr>
        <w:ind w:left="3369" w:hanging="360"/>
      </w:pPr>
    </w:lvl>
    <w:lvl w:ilvl="4" w:tplc="32B477A2">
      <w:start w:val="1"/>
      <w:numFmt w:val="lowerLetter"/>
      <w:lvlText w:val="%5."/>
      <w:lvlJc w:val="left"/>
      <w:pPr>
        <w:ind w:left="4089" w:hanging="360"/>
      </w:pPr>
    </w:lvl>
    <w:lvl w:ilvl="5" w:tplc="067895E6">
      <w:start w:val="1"/>
      <w:numFmt w:val="lowerRoman"/>
      <w:lvlText w:val="%6."/>
      <w:lvlJc w:val="right"/>
      <w:pPr>
        <w:ind w:left="4809" w:hanging="180"/>
      </w:pPr>
    </w:lvl>
    <w:lvl w:ilvl="6" w:tplc="42ECB766">
      <w:start w:val="1"/>
      <w:numFmt w:val="decimal"/>
      <w:lvlText w:val="%7."/>
      <w:lvlJc w:val="left"/>
      <w:pPr>
        <w:ind w:left="5529" w:hanging="360"/>
      </w:pPr>
    </w:lvl>
    <w:lvl w:ilvl="7" w:tplc="773A8BFA">
      <w:start w:val="1"/>
      <w:numFmt w:val="lowerLetter"/>
      <w:lvlText w:val="%8."/>
      <w:lvlJc w:val="left"/>
      <w:pPr>
        <w:ind w:left="6249" w:hanging="360"/>
      </w:pPr>
    </w:lvl>
    <w:lvl w:ilvl="8" w:tplc="674657EC">
      <w:start w:val="1"/>
      <w:numFmt w:val="lowerRoman"/>
      <w:lvlText w:val="%9."/>
      <w:lvlJc w:val="right"/>
      <w:pPr>
        <w:ind w:left="6969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1"/>
    <w:lvlOverride w:ilvl="0">
      <w:lvl w:ilvl="0" w:tplc="A010084E">
        <w:start w:val="65535"/>
        <w:numFmt w:val="bullet"/>
        <w:lvlText w:val="-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4"/>
  </w:num>
  <w:num w:numId="6">
    <w:abstractNumId w:val="0"/>
  </w:num>
  <w:num w:numId="7">
    <w:abstractNumId w:val="3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E1F"/>
    <w:rsid w:val="004601C5"/>
    <w:rsid w:val="007629B3"/>
    <w:rsid w:val="00830E1F"/>
    <w:rsid w:val="00F22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D0E1E9-4420-4CDB-8E7E-B12735F82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8"/>
      <w:lang w:eastAsia="ru-RU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  <w:sz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  <w:sz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b">
    <w:name w:val="Текст сноски Знак"/>
    <w:link w:val="aa"/>
    <w:uiPriority w:val="99"/>
    <w:rPr>
      <w:sz w:val="18"/>
    </w:rPr>
  </w:style>
  <w:style w:type="character" w:styleId="ac">
    <w:name w:val="footnote reference"/>
    <w:basedOn w:val="a0"/>
    <w:uiPriority w:val="99"/>
    <w:unhideWhenUsed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e">
    <w:name w:val="Текст концевой сноски Знак"/>
    <w:link w:val="ad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  <w:pPr>
      <w:spacing w:after="0"/>
    </w:pPr>
  </w:style>
  <w:style w:type="paragraph" w:styleId="af2">
    <w:name w:val="Body Text"/>
    <w:basedOn w:val="a"/>
    <w:link w:val="af3"/>
    <w:pPr>
      <w:spacing w:after="0" w:line="240" w:lineRule="auto"/>
    </w:pPr>
    <w:rPr>
      <w:color w:val="000000"/>
      <w:szCs w:val="20"/>
    </w:rPr>
  </w:style>
  <w:style w:type="character" w:customStyle="1" w:styleId="af3">
    <w:name w:val="Основной текст Знак"/>
    <w:basedOn w:val="a0"/>
    <w:link w:val="af2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f4">
    <w:name w:val="Plain Text"/>
    <w:basedOn w:val="a"/>
    <w:link w:val="13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f5">
    <w:name w:val="Текст Знак"/>
    <w:basedOn w:val="a0"/>
    <w:uiPriority w:val="99"/>
    <w:semiHidden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13">
    <w:name w:val="Текст Знак1"/>
    <w:link w:val="af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List Paragraph"/>
    <w:basedOn w:val="a"/>
    <w:uiPriority w:val="34"/>
    <w:qFormat/>
    <w:pPr>
      <w:ind w:left="720"/>
      <w:contextualSpacing/>
    </w:pPr>
  </w:style>
  <w:style w:type="character" w:styleId="af7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f8">
    <w:name w:val="Balloon Text"/>
    <w:basedOn w:val="a"/>
    <w:link w:val="af9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styleId="afa">
    <w:name w:val="header"/>
    <w:basedOn w:val="a"/>
    <w:link w:val="afb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rPr>
      <w:rFonts w:ascii="Times New Roman" w:eastAsia="Times New Roman" w:hAnsi="Times New Roman" w:cs="Times New Roman"/>
      <w:sz w:val="28"/>
      <w:lang w:eastAsia="ru-RU"/>
    </w:rPr>
  </w:style>
  <w:style w:type="paragraph" w:styleId="afc">
    <w:name w:val="footer"/>
    <w:basedOn w:val="a"/>
    <w:link w:val="afd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rPr>
      <w:rFonts w:ascii="Times New Roman" w:eastAsia="Times New Roman" w:hAnsi="Times New Roman" w:cs="Times New Roman"/>
      <w:sz w:val="28"/>
      <w:lang w:eastAsia="ru-RU"/>
    </w:rPr>
  </w:style>
  <w:style w:type="paragraph" w:styleId="afe">
    <w:name w:val="No Spacing"/>
    <w:link w:val="aff"/>
    <w:qFormat/>
    <w:pPr>
      <w:spacing w:after="0" w:line="240" w:lineRule="auto"/>
    </w:pPr>
    <w:rPr>
      <w:rFonts w:eastAsiaTheme="minorEastAsia"/>
      <w:lang w:eastAsia="ru-RU"/>
    </w:rPr>
  </w:style>
  <w:style w:type="table" w:styleId="af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1">
    <w:name w:val="Strong"/>
    <w:basedOn w:val="a0"/>
    <w:uiPriority w:val="22"/>
    <w:qFormat/>
    <w:rPr>
      <w:b/>
      <w:bCs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customStyle="1" w:styleId="headertext">
    <w:name w:val="headertext"/>
    <w:basedOn w:val="a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FontStyle32">
    <w:name w:val="Font Style32"/>
    <w:uiPriority w:val="99"/>
    <w:rPr>
      <w:rFonts w:ascii="Times New Roman" w:hAnsi="Times New Roman"/>
      <w:sz w:val="22"/>
    </w:rPr>
  </w:style>
  <w:style w:type="character" w:customStyle="1" w:styleId="aff">
    <w:name w:val="Без интервала Знак"/>
    <w:link w:val="afe"/>
    <w:rPr>
      <w:rFonts w:eastAsiaTheme="minorEastAsia"/>
      <w:lang w:eastAsia="ru-RU"/>
    </w:rPr>
  </w:style>
  <w:style w:type="paragraph" w:customStyle="1" w:styleId="aff2">
    <w:name w:val="Нормальный (таблица)"/>
    <w:basedOn w:val="a"/>
    <w:next w:val="a"/>
    <w:uiPriority w:val="99"/>
    <w:pPr>
      <w:widowControl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table" w:customStyle="1" w:styleId="-531">
    <w:name w:val="Таблица-сетка 5 темная — акцент 31"/>
    <w:basedOn w:val="a1"/>
    <w:uiPriority w:val="50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paragraph" w:customStyle="1" w:styleId="aff3">
    <w:name w:val="Прижатый влево"/>
    <w:basedOn w:val="a"/>
    <w:next w:val="a"/>
    <w:uiPriority w:val="99"/>
    <w:pPr>
      <w:widowControl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f4">
    <w:name w:val="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markedcontent">
    <w:name w:val="markedconte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30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14" Type="http://schemas.openxmlformats.org/officeDocument/2006/relationships/image" Target="media/image3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57E-2"/>
          <c:y val="9.0469999999999995E-2"/>
          <c:w val="0.91002000000000005"/>
          <c:h val="0.567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Проведено антикоррупционных экспертиз проектов НПА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6" tIns="19045" rIns="38096" bIns="19045" anchor="ctr" anchorCtr="1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исполнительные органы 2024</c:v>
                </c:pt>
                <c:pt idx="1">
                  <c:v>исполнительные органы  2025</c:v>
                </c:pt>
                <c:pt idx="2">
                  <c:v>органы местного самоуправления 2024</c:v>
                </c:pt>
                <c:pt idx="3">
                  <c:v>органы местного самоуправления 2025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3910</c:v>
                </c:pt>
                <c:pt idx="1">
                  <c:v>4980</c:v>
                </c:pt>
                <c:pt idx="2">
                  <c:v>15042</c:v>
                </c:pt>
                <c:pt idx="3">
                  <c:v>10938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80-4350-A97A-67E671BA546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Выявлено коррупциогенных факторов при проведении антикоррупционных экспертиз проектов НПА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6" tIns="19045" rIns="38096" bIns="19045" anchor="ctr" anchorCtr="1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исполнительные органы 2024</c:v>
                </c:pt>
                <c:pt idx="1">
                  <c:v>исполнительные органы  2025</c:v>
                </c:pt>
                <c:pt idx="2">
                  <c:v>органы местного самоуправления 2024</c:v>
                </c:pt>
                <c:pt idx="3">
                  <c:v>органы местного самоуправления 2025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165</c:v>
                </c:pt>
                <c:pt idx="1">
                  <c:v>105</c:v>
                </c:pt>
                <c:pt idx="2">
                  <c:v>166</c:v>
                </c:pt>
                <c:pt idx="3">
                  <c:v>177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B80-4350-A97A-67E671BA546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Проведена антикоррупционная экспертиза действующих НПА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6" tIns="19045" rIns="38096" bIns="19045" anchor="ctr" anchorCtr="1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исполнительные органы 2024</c:v>
                </c:pt>
                <c:pt idx="1">
                  <c:v>исполнительные органы  2025</c:v>
                </c:pt>
                <c:pt idx="2">
                  <c:v>органы местного самоуправления 2024</c:v>
                </c:pt>
                <c:pt idx="3">
                  <c:v>органы местного самоуправления 2025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1605</c:v>
                </c:pt>
                <c:pt idx="1">
                  <c:v>1316</c:v>
                </c:pt>
                <c:pt idx="2">
                  <c:v>2699</c:v>
                </c:pt>
                <c:pt idx="3">
                  <c:v>1769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B80-4350-A97A-67E671BA546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Выявлено коррупциогенных факторов при проведении антикоррупционных экспертиз действующих НПА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6" tIns="19045" rIns="38096" bIns="19045" anchor="ctr" anchorCtr="1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исполнительные органы 2024</c:v>
                </c:pt>
                <c:pt idx="1">
                  <c:v>исполнительные органы  2025</c:v>
                </c:pt>
                <c:pt idx="2">
                  <c:v>органы местного самоуправления 2024</c:v>
                </c:pt>
                <c:pt idx="3">
                  <c:v>органы местного самоуправления 2025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119</c:v>
                </c:pt>
                <c:pt idx="1">
                  <c:v>3</c:v>
                </c:pt>
                <c:pt idx="2">
                  <c:v>107</c:v>
                </c:pt>
                <c:pt idx="3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B80-4350-A97A-67E671BA546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1866169475"/>
        <c:axId val="1866169476"/>
      </c:barChart>
      <c:catAx>
        <c:axId val="1866169475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 bwMode="auto">
          <a:prstGeom prst="rect">
            <a:avLst/>
          </a:prstGeom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/>
                <a:ea typeface="Arial"/>
                <a:cs typeface="Arial"/>
              </a:defRPr>
            </a:pPr>
            <a:endParaRPr lang="ru-RU"/>
          </a:p>
        </c:txPr>
        <c:crossAx val="1866169476"/>
        <c:crosses val="autoZero"/>
        <c:auto val="1"/>
        <c:lblAlgn val="ctr"/>
        <c:lblOffset val="100"/>
        <c:noMultiLvlLbl val="0"/>
      </c:catAx>
      <c:valAx>
        <c:axId val="1866169476"/>
        <c:scaling>
          <c:orientation val="minMax"/>
        </c:scaling>
        <c:delete val="0"/>
        <c:axPos val="l"/>
        <c:majorGridlines>
          <c:spPr bwMode="auto"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/>
                <a:ea typeface="Arial"/>
                <a:cs typeface="Arial"/>
              </a:defRPr>
            </a:pPr>
            <a:endParaRPr lang="ru-RU"/>
          </a:p>
        </c:txPr>
        <c:crossAx val="1866169475"/>
        <c:crosses val="autoZero"/>
        <c:crossBetween val="between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Times New Roman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 bwMode="auto">
    <a:xfrm>
      <a:off x="0" y="0"/>
      <a:ext cx="6048285" cy="4590214"/>
    </a:xfrm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249999999999997E-2"/>
          <c:y val="4.3900000000000002E-2"/>
          <c:w val="0.91002000000000005"/>
          <c:h val="0.523340000000000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Проведено проверочных мероприятий, всего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6" tIns="19045" rIns="38096" bIns="19045" anchor="ctr" anchorCtr="1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2025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132</c:v>
                </c:pt>
                <c:pt idx="1">
                  <c:v>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13-46B6-9A6E-3FE7F499CB8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Достоверности и полноты сведений о доходах лицами, претендующими на замещение должности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6" tIns="19045" rIns="38096" bIns="19045" anchor="ctr" anchorCtr="1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2025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413-46B6-9A6E-3FE7F499CB8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Достоверности и полноты сведений о доходах лицами, замещающими должность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6" tIns="19045" rIns="38096" bIns="19045" anchor="ctr" anchorCtr="1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2025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87</c:v>
                </c:pt>
                <c:pt idx="1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413-46B6-9A6E-3FE7F499CB8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Соблюдения установленных ограничений, запретов и требований, установленных антикоррупционным законодательством 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6" tIns="19045" rIns="38096" bIns="19045" anchor="ctr" anchorCtr="1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2025</c:v>
                </c:pt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7</c:v>
                </c:pt>
                <c:pt idx="1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413-46B6-9A6E-3FE7F499CB8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Соблюдения требований о предотвращении и урегулировании конфликта интересов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6" tIns="19045" rIns="38096" bIns="19045" anchor="ctr" anchorCtr="1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2025</c:v>
                </c:pt>
              </c:numCache>
            </c:num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35</c:v>
                </c:pt>
                <c:pt idx="1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413-46B6-9A6E-3FE7F499CB8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511706064"/>
        <c:axId val="511699792"/>
      </c:barChart>
      <c:catAx>
        <c:axId val="5117060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 bwMode="auto">
          <a:prstGeom prst="rect">
            <a:avLst/>
          </a:prstGeom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/>
                <a:ea typeface="Arial"/>
                <a:cs typeface="Arial"/>
              </a:defRPr>
            </a:pPr>
            <a:endParaRPr lang="ru-RU"/>
          </a:p>
        </c:txPr>
        <c:crossAx val="511699792"/>
        <c:crosses val="autoZero"/>
        <c:auto val="1"/>
        <c:lblAlgn val="ctr"/>
        <c:lblOffset val="100"/>
        <c:noMultiLvlLbl val="0"/>
      </c:catAx>
      <c:valAx>
        <c:axId val="511699792"/>
        <c:scaling>
          <c:orientation val="minMax"/>
        </c:scaling>
        <c:delete val="0"/>
        <c:axPos val="l"/>
        <c:majorGridlines>
          <c:spPr bwMode="auto"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/>
                <a:ea typeface="Arial"/>
                <a:cs typeface="Arial"/>
              </a:defRPr>
            </a:pPr>
            <a:endParaRPr lang="ru-RU"/>
          </a:p>
        </c:txPr>
        <c:crossAx val="511706064"/>
        <c:crosses val="autoZero"/>
        <c:crossBetween val="between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4099999999999994E-2"/>
          <c:y val="0.62068000000000001"/>
          <c:w val="0.83672999999999997"/>
          <c:h val="0.3337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Times New Roman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 bwMode="auto">
    <a:xfrm>
      <a:off x="0" y="0"/>
      <a:ext cx="5684208" cy="3808666"/>
    </a:xfrm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/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служащих, уведомивших о возникновении (возможности возникновения) конфликта инетресов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5" tIns="19044" rIns="38095" bIns="19044" anchor="ctr" anchorCtr="1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222</c:v>
                </c:pt>
                <c:pt idx="1">
                  <c:v>253</c:v>
                </c:pt>
                <c:pt idx="2">
                  <c:v>199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17-40B5-9ACA-BC8314312AD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Приняты меры по предотвращению конфликта интересов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5" tIns="19044" rIns="38095" bIns="19044" anchor="ctr" anchorCtr="1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149</c:v>
                </c:pt>
                <c:pt idx="1">
                  <c:v>220</c:v>
                </c:pt>
                <c:pt idx="2">
                  <c:v>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D17-40B5-9ACA-BC8314312AD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19"/>
        <c:axId val="1866169487"/>
        <c:axId val="1866169488"/>
      </c:barChart>
      <c:catAx>
        <c:axId val="1866169487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 bwMode="auto">
          <a:prstGeom prst="rect">
            <a:avLst/>
          </a:prstGeom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/>
                <a:ea typeface="Arial"/>
                <a:cs typeface="Arial"/>
              </a:defRPr>
            </a:pPr>
            <a:endParaRPr lang="ru-RU"/>
          </a:p>
        </c:txPr>
        <c:crossAx val="1866169488"/>
        <c:crosses val="autoZero"/>
        <c:auto val="1"/>
        <c:lblAlgn val="ctr"/>
        <c:lblOffset val="100"/>
        <c:noMultiLvlLbl val="0"/>
      </c:catAx>
      <c:valAx>
        <c:axId val="1866169488"/>
        <c:scaling>
          <c:orientation val="minMax"/>
        </c:scaling>
        <c:delete val="0"/>
        <c:axPos val="l"/>
        <c:majorGridlines>
          <c:spPr bwMode="auto"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/>
                <a:ea typeface="Arial"/>
                <a:cs typeface="Arial"/>
              </a:defRPr>
            </a:pPr>
            <a:endParaRPr lang="ru-RU"/>
          </a:p>
        </c:txPr>
        <c:crossAx val="1866169487"/>
        <c:crosses val="autoZero"/>
        <c:crossBetween val="between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 val="1.48E-3"/>
          <c:y val="0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Times New Roman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 bwMode="auto">
    <a:xfrm>
      <a:off x="0" y="0"/>
      <a:ext cx="5593740" cy="2236048"/>
    </a:xfrm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/>
  </cs:dataLabel>
  <cs:dataLabelCallout>
    <cs:lnRef idx="0"/>
    <cs:fillRef idx="0"/>
    <cs:effectRef idx="0"/>
    <cs:fontRef idx="minor">
      <a:schemeClr val="tx1">
        <a:lumMod val="75000"/>
        <a:lumOff val="25000"/>
      </a:schemeClr>
    </cs:fontRef>
    <cs:defRPr sz="900"/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 bwMode="auto">
      <a:prstGeom prst="rect">
        <a:avLst/>
      </a:prstGeom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 bwMode="auto">
      <a:prstGeom prst="rect">
        <a:avLst/>
      </a:prstGeom>
      <a:ln w="9525">
        <a:solidFill>
          <a:schemeClr val="phClr"/>
        </a:solidFill>
        <a:round/>
      </a:ln>
    </cs:spPr>
  </cs:dataPointMarker>
  <cs:dataPointMarkerLayout/>
  <cs:dataPointWireframe>
    <cs:lnRef idx="0">
      <cs:styleClr val="auto"/>
    </cs:lnRef>
    <cs:fillRef idx="3"/>
    <cs:effectRef idx="3"/>
    <cs:fontRef idx="minor">
      <a:schemeClr val="lt1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/>
  </cs:title>
  <cs:trendline>
    <cs:lnRef idx="0">
      <cs:styleClr val="auto"/>
    </cs:lnRef>
    <cs:fillRef idx="0"/>
    <cs:effectRef idx="0"/>
    <cs:fontRef idx="minor">
      <a:schemeClr val="lt1"/>
    </cs:fontRef>
    <cs:spPr bwMode="auto">
      <a:prstGeom prst="rect">
        <a:avLst/>
      </a:prstGeom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/>
  </cs:dataLabel>
  <cs:dataLabelCallout>
    <cs:lnRef idx="0"/>
    <cs:fillRef idx="0"/>
    <cs:effectRef idx="0"/>
    <cs:fontRef idx="minor">
      <a:schemeClr val="tx1">
        <a:lumMod val="75000"/>
        <a:lumOff val="25000"/>
      </a:schemeClr>
    </cs:fontRef>
    <cs:defRPr sz="900"/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 bwMode="auto">
      <a:prstGeom prst="rect">
        <a:avLst/>
      </a:prstGeom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 bwMode="auto">
      <a:prstGeom prst="rect">
        <a:avLst/>
      </a:prstGeom>
      <a:ln w="9525">
        <a:solidFill>
          <a:schemeClr val="phClr"/>
        </a:solidFill>
        <a:round/>
      </a:ln>
    </cs:spPr>
  </cs:dataPointMarker>
  <cs:dataPointMarkerLayout/>
  <cs:dataPointWireframe>
    <cs:lnRef idx="0">
      <cs:styleClr val="auto"/>
    </cs:lnRef>
    <cs:fillRef idx="3"/>
    <cs:effectRef idx="3"/>
    <cs:fontRef idx="minor">
      <a:schemeClr val="lt1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/>
  </cs:title>
  <cs:trendline>
    <cs:lnRef idx="0">
      <cs:styleClr val="auto"/>
    </cs:lnRef>
    <cs:fillRef idx="0"/>
    <cs:effectRef idx="0"/>
    <cs:fontRef idx="minor">
      <a:schemeClr val="lt1"/>
    </cs:fontRef>
    <cs:spPr bwMode="auto">
      <a:prstGeom prst="rect">
        <a:avLst/>
      </a:prstGeom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/>
  </cs:dataLabel>
  <cs:dataLabelCallout>
    <cs:lnRef idx="0"/>
    <cs:fillRef idx="0"/>
    <cs:effectRef idx="0"/>
    <cs:fontRef idx="minor">
      <a:schemeClr val="tx1">
        <a:lumMod val="75000"/>
        <a:lumOff val="25000"/>
      </a:schemeClr>
    </cs:fontRef>
    <cs:defRPr sz="900"/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 bwMode="auto">
      <a:prstGeom prst="rect">
        <a:avLst/>
      </a:prstGeom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 bwMode="auto">
      <a:prstGeom prst="rect">
        <a:avLst/>
      </a:prstGeom>
      <a:ln w="9525">
        <a:solidFill>
          <a:schemeClr val="phClr"/>
        </a:solidFill>
        <a:round/>
      </a:ln>
    </cs:spPr>
  </cs:dataPointMarker>
  <cs:dataPointMarkerLayout/>
  <cs:dataPointWireframe>
    <cs:lnRef idx="0">
      <cs:styleClr val="auto"/>
    </cs:lnRef>
    <cs:fillRef idx="3"/>
    <cs:effectRef idx="3"/>
    <cs:fontRef idx="minor">
      <a:schemeClr val="lt1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/>
  </cs:title>
  <cs:trendline>
    <cs:lnRef idx="0">
      <cs:styleClr val="auto"/>
    </cs:lnRef>
    <cs:fillRef idx="0"/>
    <cs:effectRef idx="0"/>
    <cs:fontRef idx="minor">
      <a:schemeClr val="lt1"/>
    </cs:fontRef>
    <cs:spPr bwMode="auto">
      <a:prstGeom prst="rect">
        <a:avLst/>
      </a:prstGeom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E7C6C9-954A-4609-BA8B-492373F62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8594</Words>
  <Characters>48992</Characters>
  <Application>Microsoft Office Word</Application>
  <DocSecurity>0</DocSecurity>
  <Lines>408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Кузяев Игорь Валерьевич</dc:creator>
  <cp:lastModifiedBy>Пользователь</cp:lastModifiedBy>
  <cp:revision>2</cp:revision>
  <dcterms:created xsi:type="dcterms:W3CDTF">2026-03-25T12:00:00Z</dcterms:created>
  <dcterms:modified xsi:type="dcterms:W3CDTF">2026-03-25T12:00:00Z</dcterms:modified>
</cp:coreProperties>
</file>